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1D4990D5"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3546B">
        <w:t>10</w:t>
      </w:r>
      <w:r w:rsidR="00D606C3">
        <w:t>4</w:t>
      </w:r>
      <w:r w:rsidR="0083546B">
        <w:t>-e</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E45ADA">
        <w:rPr>
          <w:sz w:val="32"/>
          <w:szCs w:val="32"/>
        </w:rPr>
        <w:t>21</w:t>
      </w:r>
      <w:r w:rsidR="00030D1B">
        <w:rPr>
          <w:sz w:val="32"/>
          <w:szCs w:val="32"/>
        </w:rPr>
        <w:t>01313</w:t>
      </w:r>
    </w:p>
    <w:p w14:paraId="0CE7B7E6" w14:textId="7D17002E" w:rsidR="00E90E49" w:rsidRPr="00CE0424" w:rsidRDefault="0083546B" w:rsidP="00311702">
      <w:pPr>
        <w:pStyle w:val="3GPPHeader"/>
      </w:pPr>
      <w:r>
        <w:t xml:space="preserve">Online, </w:t>
      </w:r>
      <w:r w:rsidR="002B13CB">
        <w:t>January</w:t>
      </w:r>
      <w:r w:rsidR="002B13CB" w:rsidRPr="00584789">
        <w:t xml:space="preserve"> 2</w:t>
      </w:r>
      <w:r w:rsidR="002B13CB">
        <w:t>5</w:t>
      </w:r>
      <w:r w:rsidR="002B13CB" w:rsidRPr="00584789">
        <w:t xml:space="preserve">th – </w:t>
      </w:r>
      <w:r w:rsidR="002B13CB">
        <w:t>Feb</w:t>
      </w:r>
      <w:r w:rsidR="002B13CB" w:rsidRPr="00584789">
        <w:t>r</w:t>
      </w:r>
      <w:r w:rsidR="002B13CB">
        <w:t>uary</w:t>
      </w:r>
      <w:r w:rsidR="002B13CB" w:rsidRPr="00584789">
        <w:t xml:space="preserve"> </w:t>
      </w:r>
      <w:r w:rsidR="002B13CB">
        <w:t>5</w:t>
      </w:r>
      <w:r w:rsidR="002B13CB" w:rsidRPr="00584789">
        <w:t>th</w:t>
      </w:r>
      <w:r w:rsidR="002B13CB" w:rsidRPr="00ED2B29">
        <w:t>, 202</w:t>
      </w:r>
      <w:r w:rsidR="002B13CB">
        <w:t>1</w:t>
      </w:r>
    </w:p>
    <w:p w14:paraId="3086AC07" w14:textId="77777777" w:rsidR="00E90E49" w:rsidRPr="00CE0424" w:rsidRDefault="00E90E49" w:rsidP="00357380">
      <w:pPr>
        <w:pStyle w:val="3GPPHeader"/>
      </w:pPr>
    </w:p>
    <w:p w14:paraId="3982483C" w14:textId="6CD80C46" w:rsidR="00E90E49" w:rsidRPr="000D19DE" w:rsidRDefault="00E90E49" w:rsidP="00311702">
      <w:pPr>
        <w:pStyle w:val="3GPPHeader"/>
        <w:rPr>
          <w:sz w:val="22"/>
        </w:rPr>
      </w:pPr>
      <w:r w:rsidRPr="000D19DE">
        <w:rPr>
          <w:sz w:val="22"/>
        </w:rPr>
        <w:t>Agenda Item:</w:t>
      </w:r>
      <w:r w:rsidRPr="000D19DE">
        <w:rPr>
          <w:sz w:val="22"/>
        </w:rPr>
        <w:tab/>
      </w:r>
      <w:r w:rsidR="00AE5153" w:rsidRPr="000D19DE">
        <w:rPr>
          <w:sz w:val="22"/>
        </w:rPr>
        <w:t>8.1.1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9E1375D" w:rsidR="00E90E49" w:rsidRPr="00AE5153" w:rsidRDefault="003D3C45" w:rsidP="00311702">
      <w:pPr>
        <w:pStyle w:val="3GPPHeader"/>
        <w:rPr>
          <w:sz w:val="22"/>
          <w:lang w:val="en-GB"/>
        </w:rPr>
      </w:pPr>
      <w:r>
        <w:rPr>
          <w:sz w:val="22"/>
        </w:rPr>
        <w:t>Title:</w:t>
      </w:r>
      <w:r w:rsidR="00E90E49" w:rsidRPr="00CE0424">
        <w:rPr>
          <w:sz w:val="22"/>
        </w:rPr>
        <w:tab/>
      </w:r>
      <w:r w:rsidR="00AE5153" w:rsidRPr="00AE5153">
        <w:rPr>
          <w:sz w:val="22"/>
        </w:rPr>
        <w:t>Enhancements on Multi-beam Operation</w:t>
      </w:r>
    </w:p>
    <w:p w14:paraId="025260C1" w14:textId="3D31A020" w:rsidR="00E90E49" w:rsidRPr="00CE0424" w:rsidRDefault="00E90E49" w:rsidP="00D546FF">
      <w:pPr>
        <w:pStyle w:val="3GPPHeader"/>
        <w:rPr>
          <w:sz w:val="22"/>
        </w:rPr>
      </w:pPr>
      <w:r w:rsidRPr="00CE0424">
        <w:rPr>
          <w:sz w:val="22"/>
        </w:rPr>
        <w:t>Document for:</w:t>
      </w:r>
      <w:r w:rsidRPr="00CE0424">
        <w:rPr>
          <w:sz w:val="22"/>
        </w:rPr>
        <w:tab/>
      </w:r>
      <w:r w:rsidRPr="00203A6F">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5D7380CC" w14:textId="077D09DD" w:rsidR="00BF1E70" w:rsidRPr="00240E36" w:rsidRDefault="00BF1E70" w:rsidP="00BF1E70">
      <w:pPr>
        <w:pStyle w:val="BodyText"/>
      </w:pPr>
      <w:r w:rsidRPr="00A331AC">
        <w:t>In </w:t>
      </w:r>
      <w:r>
        <w:fldChar w:fldCharType="begin"/>
      </w:r>
      <w:r w:rsidRPr="00A331AC">
        <w:instrText xml:space="preserve"> REF _Ref31185007 \r \h </w:instrText>
      </w:r>
      <w:r>
        <w:fldChar w:fldCharType="separate"/>
      </w:r>
      <w:r w:rsidR="000B407C">
        <w:t>[1]</w:t>
      </w:r>
      <w:r>
        <w:fldChar w:fldCharType="end"/>
      </w:r>
      <w:r w:rsidRPr="00A331AC">
        <w:t xml:space="preserve">, a </w:t>
      </w:r>
      <w:r w:rsidR="006B59A2">
        <w:t>Rel</w:t>
      </w:r>
      <w:r w:rsidR="006B59A2" w:rsidRPr="00AD0299">
        <w:t xml:space="preserve">-17 </w:t>
      </w:r>
      <w:r w:rsidRPr="00A331AC">
        <w:t xml:space="preserve">work item for further enhancements to NR MIMO was agreed. </w:t>
      </w:r>
      <w:r w:rsidRPr="00240E36">
        <w:t>One objective of the work item concerns enhancements to multi-beam operation:</w:t>
      </w:r>
    </w:p>
    <w:p w14:paraId="33210247" w14:textId="77777777" w:rsidR="00BF1E70" w:rsidRDefault="00BF1E70" w:rsidP="00BF1E70">
      <w:pPr>
        <w:pStyle w:val="BodyText"/>
      </w:pPr>
      <w:r>
        <w:rPr>
          <w:noProof/>
        </w:rPr>
        <mc:AlternateContent>
          <mc:Choice Requires="wps">
            <w:drawing>
              <wp:inline distT="0" distB="0" distL="0" distR="0" wp14:anchorId="1461346A" wp14:editId="70247915">
                <wp:extent cx="6146359" cy="771276"/>
                <wp:effectExtent l="0" t="0" r="26035" b="24765"/>
                <wp:docPr id="30" name="Text Box 30"/>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20335E48" w14:textId="77777777" w:rsidR="00A645FD" w:rsidRPr="00431FD8" w:rsidRDefault="00A645FD" w:rsidP="00AA274B">
                            <w:pPr>
                              <w:pStyle w:val="ListParagraph"/>
                              <w:numPr>
                                <w:ilvl w:val="0"/>
                                <w:numId w:val="29"/>
                              </w:numPr>
                              <w:jc w:val="both"/>
                              <w:rPr>
                                <w:rFonts w:ascii="Times New Roman" w:hAnsi="Times New Roman"/>
                              </w:rPr>
                            </w:pPr>
                            <w:r w:rsidRPr="00431FD8">
                              <w:rPr>
                                <w:rFonts w:ascii="Times New Roman" w:hAnsi="Times New Roman"/>
                              </w:rPr>
                              <w:t xml:space="preserve">Enhancement on multi-beam operation, mainly targeting FR2 while also applicable to FR1: </w:t>
                            </w:r>
                          </w:p>
                          <w:p w14:paraId="6DB4A92D" w14:textId="77777777" w:rsidR="00A645FD" w:rsidRPr="00431FD8" w:rsidRDefault="00A645FD" w:rsidP="00AA274B">
                            <w:pPr>
                              <w:pStyle w:val="ListParagraph"/>
                              <w:numPr>
                                <w:ilvl w:val="1"/>
                                <w:numId w:val="29"/>
                              </w:numPr>
                              <w:jc w:val="both"/>
                              <w:rPr>
                                <w:rFonts w:ascii="Times New Roman" w:hAnsi="Times New Roman"/>
                              </w:rPr>
                            </w:pPr>
                            <w:r w:rsidRPr="00431FD8">
                              <w:rPr>
                                <w:rFonts w:ascii="Times New Roman" w:hAnsi="Times New Roman"/>
                              </w:rPr>
                              <w:t>Identify and specify features to facilitate more efficient (lower latency and overhead) DL/UL beam management to support higher intra- and L1/L2-centric inter-cell mobility and/or a larger number of configured TCI states:</w:t>
                            </w:r>
                          </w:p>
                          <w:p w14:paraId="46CB05F4" w14:textId="77777777" w:rsidR="00A645FD" w:rsidRPr="00431FD8" w:rsidRDefault="00A645FD" w:rsidP="00AA274B">
                            <w:pPr>
                              <w:pStyle w:val="ListParagraph"/>
                              <w:numPr>
                                <w:ilvl w:val="2"/>
                                <w:numId w:val="29"/>
                              </w:numPr>
                              <w:jc w:val="both"/>
                              <w:rPr>
                                <w:rFonts w:ascii="Times New Roman" w:hAnsi="Times New Roman"/>
                              </w:rPr>
                            </w:pPr>
                            <w:r w:rsidRPr="00431FD8">
                              <w:rPr>
                                <w:rFonts w:ascii="Times New Roman" w:hAnsi="Times New Roman"/>
                              </w:rPr>
                              <w:t>Common beam for data and control transmission/reception for DL and UL, especially for intra-band CA</w:t>
                            </w:r>
                          </w:p>
                          <w:p w14:paraId="75B03CFA" w14:textId="77777777" w:rsidR="00A645FD" w:rsidRPr="00431FD8" w:rsidRDefault="00A645FD" w:rsidP="00AA274B">
                            <w:pPr>
                              <w:pStyle w:val="ListParagraph"/>
                              <w:numPr>
                                <w:ilvl w:val="2"/>
                                <w:numId w:val="29"/>
                              </w:numPr>
                              <w:jc w:val="both"/>
                              <w:rPr>
                                <w:rFonts w:ascii="Times New Roman" w:hAnsi="Times New Roman"/>
                              </w:rPr>
                            </w:pPr>
                            <w:r w:rsidRPr="00431FD8">
                              <w:rPr>
                                <w:rFonts w:ascii="Times New Roman" w:hAnsi="Times New Roman"/>
                              </w:rPr>
                              <w:t>Unified TCI framework for DL and UL beam indication</w:t>
                            </w:r>
                          </w:p>
                          <w:p w14:paraId="05202CC6" w14:textId="77777777" w:rsidR="00A645FD" w:rsidRPr="00431FD8" w:rsidRDefault="00A645FD" w:rsidP="00AA274B">
                            <w:pPr>
                              <w:pStyle w:val="ListParagraph"/>
                              <w:numPr>
                                <w:ilvl w:val="2"/>
                                <w:numId w:val="29"/>
                              </w:numPr>
                              <w:jc w:val="both"/>
                              <w:rPr>
                                <w:rFonts w:ascii="Times New Roman" w:hAnsi="Times New Roman"/>
                              </w:rPr>
                            </w:pPr>
                            <w:r w:rsidRPr="00431FD8">
                              <w:rPr>
                                <w:rFonts w:ascii="Times New Roman" w:hAnsi="Times New Roman"/>
                              </w:rPr>
                              <w:t>Enhancement on signaling mechanisms for the above features to improve latency and efficiency with more usage of dynamic control signaling (as opposed to RRC)</w:t>
                            </w:r>
                          </w:p>
                          <w:p w14:paraId="3E625569" w14:textId="77777777" w:rsidR="00A645FD" w:rsidRPr="00431FD8" w:rsidRDefault="00A645FD" w:rsidP="00AA274B">
                            <w:pPr>
                              <w:pStyle w:val="ListParagraph"/>
                              <w:numPr>
                                <w:ilvl w:val="1"/>
                                <w:numId w:val="29"/>
                              </w:numPr>
                              <w:jc w:val="both"/>
                              <w:rPr>
                                <w:rFonts w:ascii="Times New Roman" w:hAnsi="Times New Roman"/>
                              </w:rPr>
                            </w:pPr>
                            <w:r w:rsidRPr="00431FD8">
                              <w:rPr>
                                <w:rFonts w:ascii="Times New Roman" w:hAnsi="Times New Roman"/>
                              </w:rPr>
                              <w:t xml:space="preserve">Identify and specify features to facilitate UL beam selection for UEs equipped with multiple panels, considering UL coverage loss mitigation due to MPE, based on UL beam indication with the unified TCI framework for UL fast panel selection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rto="http://schemas.microsoft.com/office/word/2006/arto">
            <w:pict>
              <v:shapetype w14:anchorId="1461346A" id="_x0000_t202" coordsize="21600,21600" o:spt="202" path="m,l,21600r21600,l21600,xe">
                <v:stroke joinstyle="miter"/>
                <v:path gradientshapeok="t" o:connecttype="rect"/>
              </v:shapetype>
              <v:shape id="Text Box 30" o:spid="_x0000_s1026"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" fillcolor="white [3201]" strokeweight=".5pt">
                <v:textbox style="mso-fit-shape-to-text:t">
                  <w:txbxContent>
                    <w:p w14:paraId="20335E48" w14:textId="77777777" w:rsidR="00A645FD" w:rsidRPr="00431FD8" w:rsidRDefault="00A645FD" w:rsidP="00AA274B">
                      <w:pPr>
                        <w:pStyle w:val="ListParagraph"/>
                        <w:numPr>
                          <w:ilvl w:val="0"/>
                          <w:numId w:val="29"/>
                        </w:numPr>
                        <w:jc w:val="both"/>
                        <w:rPr>
                          <w:rFonts w:ascii="Times New Roman" w:hAnsi="Times New Roman"/>
                        </w:rPr>
                      </w:pPr>
                      <w:r w:rsidRPr="00431FD8">
                        <w:rPr>
                          <w:rFonts w:ascii="Times New Roman" w:hAnsi="Times New Roman"/>
                        </w:rPr>
                        <w:t xml:space="preserve">Enhancement on multi-beam operation, mainly targeting FR2 while also applicable to FR1: </w:t>
                      </w:r>
                    </w:p>
                    <w:p w14:paraId="6DB4A92D" w14:textId="77777777" w:rsidR="00A645FD" w:rsidRPr="00431FD8" w:rsidRDefault="00A645FD" w:rsidP="00AA274B">
                      <w:pPr>
                        <w:pStyle w:val="ListParagraph"/>
                        <w:numPr>
                          <w:ilvl w:val="1"/>
                          <w:numId w:val="29"/>
                        </w:numPr>
                        <w:jc w:val="both"/>
                        <w:rPr>
                          <w:rFonts w:ascii="Times New Roman" w:hAnsi="Times New Roman"/>
                        </w:rPr>
                      </w:pPr>
                      <w:r w:rsidRPr="00431FD8">
                        <w:rPr>
                          <w:rFonts w:ascii="Times New Roman" w:hAnsi="Times New Roman"/>
                        </w:rPr>
                        <w:t>Identify and specify features to facilitate more efficient (lower latency and overhead) DL/UL beam management to support higher intra- and L1/L2-centric inter-cell mobility and/or a larger number of configured TCI states:</w:t>
                      </w:r>
                    </w:p>
                    <w:p w14:paraId="46CB05F4" w14:textId="77777777" w:rsidR="00A645FD" w:rsidRPr="00431FD8" w:rsidRDefault="00A645FD" w:rsidP="00AA274B">
                      <w:pPr>
                        <w:pStyle w:val="ListParagraph"/>
                        <w:numPr>
                          <w:ilvl w:val="2"/>
                          <w:numId w:val="29"/>
                        </w:numPr>
                        <w:jc w:val="both"/>
                        <w:rPr>
                          <w:rFonts w:ascii="Times New Roman" w:hAnsi="Times New Roman"/>
                        </w:rPr>
                      </w:pPr>
                      <w:r w:rsidRPr="00431FD8">
                        <w:rPr>
                          <w:rFonts w:ascii="Times New Roman" w:hAnsi="Times New Roman"/>
                        </w:rPr>
                        <w:t>Common beam for data and control transmission/reception for DL and UL, especially for intra-band CA</w:t>
                      </w:r>
                    </w:p>
                    <w:p w14:paraId="75B03CFA" w14:textId="77777777" w:rsidR="00A645FD" w:rsidRPr="00431FD8" w:rsidRDefault="00A645FD" w:rsidP="00AA274B">
                      <w:pPr>
                        <w:pStyle w:val="ListParagraph"/>
                        <w:numPr>
                          <w:ilvl w:val="2"/>
                          <w:numId w:val="29"/>
                        </w:numPr>
                        <w:jc w:val="both"/>
                        <w:rPr>
                          <w:rFonts w:ascii="Times New Roman" w:hAnsi="Times New Roman"/>
                        </w:rPr>
                      </w:pPr>
                      <w:r w:rsidRPr="00431FD8">
                        <w:rPr>
                          <w:rFonts w:ascii="Times New Roman" w:hAnsi="Times New Roman"/>
                        </w:rPr>
                        <w:t>Unified TCI framework for DL and UL beam indication</w:t>
                      </w:r>
                    </w:p>
                    <w:p w14:paraId="05202CC6" w14:textId="77777777" w:rsidR="00A645FD" w:rsidRPr="00431FD8" w:rsidRDefault="00A645FD" w:rsidP="00AA274B">
                      <w:pPr>
                        <w:pStyle w:val="ListParagraph"/>
                        <w:numPr>
                          <w:ilvl w:val="2"/>
                          <w:numId w:val="29"/>
                        </w:numPr>
                        <w:jc w:val="both"/>
                        <w:rPr>
                          <w:rFonts w:ascii="Times New Roman" w:hAnsi="Times New Roman"/>
                        </w:rPr>
                      </w:pPr>
                      <w:r w:rsidRPr="00431FD8">
                        <w:rPr>
                          <w:rFonts w:ascii="Times New Roman" w:hAnsi="Times New Roman"/>
                        </w:rPr>
                        <w:t>Enhancement on signaling mechanisms for the above features to improve latency and efficiency with more usage of dynamic control signaling (as opposed to RRC)</w:t>
                      </w:r>
                    </w:p>
                    <w:p w14:paraId="3E625569" w14:textId="77777777" w:rsidR="00A645FD" w:rsidRPr="00431FD8" w:rsidRDefault="00A645FD" w:rsidP="00AA274B">
                      <w:pPr>
                        <w:pStyle w:val="ListParagraph"/>
                        <w:numPr>
                          <w:ilvl w:val="1"/>
                          <w:numId w:val="29"/>
                        </w:numPr>
                        <w:jc w:val="both"/>
                        <w:rPr>
                          <w:rFonts w:ascii="Times New Roman" w:hAnsi="Times New Roman"/>
                        </w:rPr>
                      </w:pPr>
                      <w:r w:rsidRPr="00431FD8">
                        <w:rPr>
                          <w:rFonts w:ascii="Times New Roman" w:hAnsi="Times New Roman"/>
                        </w:rPr>
                        <w:t xml:space="preserve">Identify and specify features to facilitate UL beam selection for UEs equipped with multiple panels, considering UL coverage loss mitigation due to MPE, based on UL beam indication with the unified TCI framework for UL fast panel selection </w:t>
                      </w:r>
                    </w:p>
                  </w:txbxContent>
                </v:textbox>
                <w10:anchorlock/>
              </v:shape>
            </w:pict>
          </mc:Fallback>
        </mc:AlternateContent>
      </w:r>
    </w:p>
    <w:p w14:paraId="275E20CD" w14:textId="13D9526C" w:rsidR="009E7184" w:rsidRDefault="009E7184" w:rsidP="00CE0424">
      <w:pPr>
        <w:pStyle w:val="BodyText"/>
      </w:pPr>
      <w:r>
        <w:t>During RAN1#10</w:t>
      </w:r>
      <w:r w:rsidR="00507940">
        <w:t>3</w:t>
      </w:r>
      <w:r>
        <w:t xml:space="preserve">, </w:t>
      </w:r>
      <w:r w:rsidR="00507940">
        <w:t>multiple</w:t>
      </w:r>
      <w:r>
        <w:t xml:space="preserve"> multi-beam agreement</w:t>
      </w:r>
      <w:r w:rsidR="00795909">
        <w:t>s</w:t>
      </w:r>
      <w:r>
        <w:t xml:space="preserve"> </w:t>
      </w:r>
      <w:r w:rsidR="00507940">
        <w:t>w</w:t>
      </w:r>
      <w:r w:rsidR="00795909">
        <w:t>ere</w:t>
      </w:r>
      <w:r>
        <w:t xml:space="preserve"> made</w:t>
      </w:r>
      <w:r w:rsidR="00507940">
        <w:t xml:space="preserve">. </w:t>
      </w:r>
      <w:r>
        <w:t>This contribution will provide</w:t>
      </w:r>
      <w:r w:rsidR="00507940">
        <w:t xml:space="preserve"> further</w:t>
      </w:r>
      <w:r>
        <w:t xml:space="preserve"> input to </w:t>
      </w:r>
      <w:r w:rsidR="00507940">
        <w:t>the agreements and related topics</w:t>
      </w:r>
      <w:r>
        <w:t>.</w:t>
      </w:r>
    </w:p>
    <w:p w14:paraId="60123794" w14:textId="77777777" w:rsidR="004000E8" w:rsidRPr="00CE0424" w:rsidRDefault="00230D18" w:rsidP="00CE0424">
      <w:pPr>
        <w:pStyle w:val="Heading1"/>
      </w:pPr>
      <w:bookmarkStart w:id="0" w:name="_Ref178064866"/>
      <w:r>
        <w:t>2</w:t>
      </w:r>
      <w:r>
        <w:tab/>
      </w:r>
      <w:r w:rsidR="004000E8" w:rsidRPr="00CE0424">
        <w:t>Discussion</w:t>
      </w:r>
      <w:bookmarkEnd w:id="0"/>
    </w:p>
    <w:p w14:paraId="35EB090D" w14:textId="4F95A8E7" w:rsidR="00F63950" w:rsidRDefault="00230D18" w:rsidP="00F63950">
      <w:pPr>
        <w:pStyle w:val="Heading2"/>
      </w:pPr>
      <w:r>
        <w:t>2.1</w:t>
      </w:r>
      <w:r>
        <w:tab/>
      </w:r>
      <w:r w:rsidR="00507940">
        <w:t>U</w:t>
      </w:r>
      <w:r w:rsidR="009505EE">
        <w:t>nified TCI framework</w:t>
      </w:r>
    </w:p>
    <w:p w14:paraId="597E5B5A" w14:textId="339A305D" w:rsidR="0002098F" w:rsidRDefault="0002098F" w:rsidP="0002098F">
      <w:pPr>
        <w:pStyle w:val="Heading3"/>
      </w:pPr>
      <w:r>
        <w:t>2.1.1</w:t>
      </w:r>
      <w:r>
        <w:tab/>
      </w:r>
      <w:r w:rsidR="00397C75">
        <w:t xml:space="preserve">Definition of </w:t>
      </w:r>
      <w:r w:rsidR="009734F6">
        <w:t xml:space="preserve">a unified </w:t>
      </w:r>
      <w:r w:rsidR="00397C75">
        <w:t>UL/DL TCI state</w:t>
      </w:r>
    </w:p>
    <w:p w14:paraId="516BE1F6" w14:textId="26273B64" w:rsidR="009734F6" w:rsidRDefault="009734F6" w:rsidP="009734F6">
      <w:pPr>
        <w:rPr>
          <w:rFonts w:cs="Arial"/>
          <w:szCs w:val="20"/>
          <w:lang w:val="en-GB" w:eastAsia="ja-JP"/>
        </w:rPr>
      </w:pPr>
      <w:r>
        <w:rPr>
          <w:rFonts w:cs="Arial"/>
          <w:szCs w:val="20"/>
          <w:lang w:val="en-GB" w:eastAsia="ja-JP"/>
        </w:rPr>
        <w:t xml:space="preserve">In Rel-15/16, a (DL) TCI state contains up to two RSs, and each RS is associated with a QCL Type. The UE uses the RSs in one TCI state to facilitate reception of another DL RS. So far, there is no explicit agreement for the corresponding properties of the unified TCI state. The statements are </w:t>
      </w:r>
      <w:r w:rsidR="006C1B56">
        <w:rPr>
          <w:rFonts w:cs="Arial"/>
          <w:szCs w:val="20"/>
          <w:lang w:val="en-GB" w:eastAsia="ja-JP"/>
        </w:rPr>
        <w:t>vaguer</w:t>
      </w:r>
      <w:r>
        <w:rPr>
          <w:rFonts w:cs="Arial"/>
          <w:szCs w:val="20"/>
          <w:lang w:val="en-GB" w:eastAsia="ja-JP"/>
        </w:rPr>
        <w:t>: the DL TCI state contains “QCL information” and the UL TCI state contains a “</w:t>
      </w:r>
      <w:r w:rsidRPr="009734F6">
        <w:rPr>
          <w:rFonts w:cs="Arial"/>
          <w:szCs w:val="20"/>
          <w:lang w:val="en-GB" w:eastAsia="ja-JP"/>
        </w:rPr>
        <w:t>reference for determining common UL TX spatial filter(s)</w:t>
      </w:r>
      <w:r>
        <w:rPr>
          <w:rFonts w:cs="Arial"/>
          <w:szCs w:val="20"/>
          <w:lang w:val="en-GB" w:eastAsia="ja-JP"/>
        </w:rPr>
        <w:t>”.</w:t>
      </w:r>
    </w:p>
    <w:p w14:paraId="0A4A8415" w14:textId="4493E15F" w:rsidR="00FF435C" w:rsidRPr="00FF435C" w:rsidRDefault="00FF435C" w:rsidP="00FF435C">
      <w:pPr>
        <w:rPr>
          <w:lang w:val="en-GB" w:eastAsia="ja-JP"/>
        </w:rPr>
      </w:pPr>
      <w:r>
        <w:rPr>
          <w:lang w:val="en-GB" w:eastAsia="ja-JP"/>
        </w:rPr>
        <w:t>In RAN1#103-e, the following was agreed:</w:t>
      </w:r>
    </w:p>
    <w:p w14:paraId="5AD3135F" w14:textId="77777777" w:rsidR="00FF435C" w:rsidRDefault="00FF435C" w:rsidP="002E1C6D">
      <w:pPr>
        <w:rPr>
          <w:lang w:eastAsia="ja-JP"/>
        </w:rPr>
      </w:pPr>
    </w:p>
    <w:p w14:paraId="4A77BD0F" w14:textId="2AA96244" w:rsidR="00FF435C" w:rsidRDefault="002E1C6D" w:rsidP="00555136">
      <w:pPr>
        <w:rPr>
          <w:rFonts w:cs="Arial"/>
          <w:szCs w:val="20"/>
          <w:lang w:val="en-GB" w:eastAsia="ja-JP"/>
        </w:rPr>
      </w:pPr>
      <w:r>
        <w:rPr>
          <w:rFonts w:ascii="Times New Roman" w:hAnsi="Times New Roman" w:cs="Times New Roman"/>
          <w:noProof/>
        </w:rPr>
        <mc:AlternateContent>
          <mc:Choice Requires="wps">
            <w:drawing>
              <wp:inline distT="0" distB="0" distL="0" distR="0" wp14:anchorId="65932B82" wp14:editId="59F9187B">
                <wp:extent cx="6120765" cy="356870"/>
                <wp:effectExtent l="0" t="0" r="13335" b="24130"/>
                <wp:docPr id="12" name="Text Box 12"/>
                <wp:cNvGraphicFramePr/>
                <a:graphic xmlns:a="http://schemas.openxmlformats.org/drawingml/2006/main">
                  <a:graphicData uri="http://schemas.microsoft.com/office/word/2010/wordprocessingShape">
                    <wps:wsp>
                      <wps:cNvSpPr txBox="1"/>
                      <wps:spPr>
                        <a:xfrm>
                          <a:off x="0" y="0"/>
                          <a:ext cx="6120765" cy="356870"/>
                        </a:xfrm>
                        <a:prstGeom prst="rect">
                          <a:avLst/>
                        </a:prstGeom>
                        <a:solidFill>
                          <a:schemeClr val="lt1"/>
                        </a:solidFill>
                        <a:ln w="6350">
                          <a:solidFill>
                            <a:prstClr val="black"/>
                          </a:solidFill>
                        </a:ln>
                      </wps:spPr>
                      <wps:txbx>
                        <w:txbxContent>
                          <w:p w14:paraId="5F46D83C" w14:textId="77777777" w:rsidR="00A645FD" w:rsidRPr="00635BF9" w:rsidRDefault="00A645FD" w:rsidP="002E1C6D">
                            <w:pPr>
                              <w:snapToGrid w:val="0"/>
                              <w:spacing w:after="0"/>
                              <w:jc w:val="both"/>
                              <w:rPr>
                                <w:rFonts w:ascii="Times New Roman" w:eastAsia="Batang" w:hAnsi="Times New Roman" w:cs="Times New Roman"/>
                                <w:szCs w:val="20"/>
                                <w:lang w:eastAsia="ko-KR"/>
                              </w:rPr>
                            </w:pPr>
                            <w:r w:rsidRPr="00635BF9">
                              <w:rPr>
                                <w:rFonts w:ascii="Times New Roman" w:eastAsia="Batang" w:hAnsi="Times New Roman" w:cs="Times New Roman"/>
                                <w:b/>
                                <w:bCs/>
                                <w:szCs w:val="20"/>
                                <w:highlight w:val="green"/>
                                <w:lang w:val="en-GB"/>
                              </w:rPr>
                              <w:t>Agreement</w:t>
                            </w:r>
                          </w:p>
                          <w:p w14:paraId="3BE24D2A" w14:textId="77777777" w:rsidR="00A645FD" w:rsidRPr="00635BF9" w:rsidRDefault="00A645FD" w:rsidP="002E1C6D">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On Rel-17 unified TCI framework, support common TCI state ID update and activation to provide common QCL information and/or common UL TX spatial filter(s) across a set of configured CCs:</w:t>
                            </w:r>
                          </w:p>
                          <w:p w14:paraId="73B71627" w14:textId="77777777" w:rsidR="00A645FD" w:rsidRPr="00635BF9" w:rsidRDefault="00A645FD" w:rsidP="002E1C6D">
                            <w:pPr>
                              <w:numPr>
                                <w:ilvl w:val="0"/>
                                <w:numId w:val="36"/>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The above applies to intra-band CA</w:t>
                            </w:r>
                          </w:p>
                          <w:p w14:paraId="51D9C476" w14:textId="77777777" w:rsidR="00A645FD" w:rsidRPr="00635BF9" w:rsidRDefault="00A645FD" w:rsidP="002E1C6D">
                            <w:pPr>
                              <w:numPr>
                                <w:ilvl w:val="0"/>
                                <w:numId w:val="36"/>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The above applies to joint DL/UL and separate DL/UL beam indications </w:t>
                            </w:r>
                          </w:p>
                          <w:p w14:paraId="2A52CB18" w14:textId="77777777" w:rsidR="00A645FD" w:rsidRPr="00635BF9" w:rsidRDefault="00A645FD" w:rsidP="002E1C6D">
                            <w:pPr>
                              <w:numPr>
                                <w:ilvl w:val="0"/>
                                <w:numId w:val="36"/>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Just as Rel.16, the RS in the TCI state that provides QCL-TypeA [or QCL-TypeB] shall be in the same CC as the target channel or RS</w:t>
                            </w:r>
                          </w:p>
                          <w:p w14:paraId="45462498" w14:textId="77777777" w:rsidR="00A645FD" w:rsidRPr="00635BF9" w:rsidRDefault="00A645FD" w:rsidP="002E1C6D">
                            <w:pPr>
                              <w:numPr>
                                <w:ilvl w:val="0"/>
                                <w:numId w:val="36"/>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The common TCI state ID implies that the same/single RS determined according to the TCI state(s) indicated by a common TCI state ID is used to provide QCL Type-D indication and to determine UL TX spatial filter across the set of configured CCs</w:t>
                            </w:r>
                          </w:p>
                          <w:p w14:paraId="2EF6C2FF" w14:textId="77777777" w:rsidR="00A645FD" w:rsidRPr="00635BF9" w:rsidRDefault="00A645FD" w:rsidP="002E1C6D">
                            <w:pPr>
                              <w:numPr>
                                <w:ilvl w:val="0"/>
                                <w:numId w:val="36"/>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FFS: The above also applies to inter-band CA </w:t>
                            </w:r>
                          </w:p>
                          <w:p w14:paraId="4BA37A11" w14:textId="77777777" w:rsidR="00A645FD" w:rsidRPr="00635BF9" w:rsidRDefault="00A645FD" w:rsidP="002E1C6D">
                            <w:pPr>
                              <w:numPr>
                                <w:ilvl w:val="0"/>
                                <w:numId w:val="36"/>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FFS: TCI state pool for CA </w:t>
                            </w:r>
                          </w:p>
                          <w:p w14:paraId="598EB850" w14:textId="77777777" w:rsidR="00A645FD" w:rsidRPr="00635BF9" w:rsidRDefault="00A645FD" w:rsidP="002E1C6D">
                            <w:pPr>
                              <w:numPr>
                                <w:ilvl w:val="1"/>
                                <w:numId w:val="40"/>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zh-CN"/>
                              </w:rPr>
                              <w:t xml:space="preserve">Opt-1: sharing a single RRC TCI state pool for the set of configured CCs, e.g., cell-group TCI state pool, or reuse TCI state pool for PDSCH in a reference cell; </w:t>
                            </w:r>
                            <w:r w:rsidRPr="00635BF9">
                              <w:rPr>
                                <w:rFonts w:ascii="Times New Roman" w:eastAsia="Batang" w:hAnsi="Times New Roman" w:cs="Times New Roman"/>
                                <w:szCs w:val="20"/>
                                <w:shd w:val="clear" w:color="auto" w:fill="FFFFFF"/>
                                <w:lang w:val="en-GB" w:eastAsia="x-none"/>
                              </w:rPr>
                              <w:t>A CC ID for QCL-Type A RS is absent in a TCI state, and the CC ID for QCL-Type A RS is determined according to a target CC of the TCI state.</w:t>
                            </w:r>
                          </w:p>
                          <w:p w14:paraId="5341C29B" w14:textId="77777777" w:rsidR="00A645FD" w:rsidRPr="00635BF9" w:rsidRDefault="00A645FD" w:rsidP="002E1C6D">
                            <w:pPr>
                              <w:numPr>
                                <w:ilvl w:val="2"/>
                                <w:numId w:val="40"/>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it is possible that a single TCI state in the pool includes all source RSs from different CCs</w:t>
                            </w:r>
                          </w:p>
                          <w:p w14:paraId="1CD3A394" w14:textId="77777777" w:rsidR="00A645FD" w:rsidRPr="00635BF9" w:rsidRDefault="00A645FD" w:rsidP="002E1C6D">
                            <w:pPr>
                              <w:numPr>
                                <w:ilvl w:val="1"/>
                                <w:numId w:val="40"/>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zh-CN"/>
                              </w:rPr>
                              <w:t>Opt-2: configuring RRC TCI state pool per individual CC</w:t>
                            </w:r>
                          </w:p>
                          <w:p w14:paraId="02255529" w14:textId="39957CA2" w:rsidR="00A645FD" w:rsidRPr="002E1C6D" w:rsidRDefault="00A645FD" w:rsidP="002E1C6D">
                            <w:pPr>
                              <w:numPr>
                                <w:ilvl w:val="0"/>
                                <w:numId w:val="36"/>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the Rel-17 common beam update across multiple CCs applies to beam indication for single channel (e.g. PDSCH only, single CORESET), a subset of channels, or all channels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rto="http://schemas.microsoft.com/office/word/2006/arto">
            <w:pict>
              <v:shape w14:anchorId="65932B82" id="Text Box 12" o:spid="_x0000_s1027" type="#_x0000_t202" style="width:481.95pt;height:2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" fillcolor="white [3201]" strokeweight=".5pt">
                <v:textbox style="mso-fit-shape-to-text:t">
                  <w:txbxContent>
                    <w:p w14:paraId="5F46D83C" w14:textId="77777777" w:rsidR="00A645FD" w:rsidRPr="00635BF9" w:rsidRDefault="00A645FD" w:rsidP="002E1C6D">
                      <w:pPr>
                        <w:snapToGrid w:val="0"/>
                        <w:spacing w:after="0"/>
                        <w:jc w:val="both"/>
                        <w:rPr>
                          <w:rFonts w:ascii="Times New Roman" w:eastAsia="Batang" w:hAnsi="Times New Roman" w:cs="Times New Roman"/>
                          <w:szCs w:val="20"/>
                          <w:lang w:eastAsia="ko-KR"/>
                        </w:rPr>
                      </w:pPr>
                      <w:r w:rsidRPr="00635BF9">
                        <w:rPr>
                          <w:rFonts w:ascii="Times New Roman" w:eastAsia="Batang" w:hAnsi="Times New Roman" w:cs="Times New Roman"/>
                          <w:b/>
                          <w:bCs/>
                          <w:szCs w:val="20"/>
                          <w:highlight w:val="green"/>
                          <w:lang w:val="en-GB"/>
                        </w:rPr>
                        <w:t>Agreement</w:t>
                      </w:r>
                    </w:p>
                    <w:p w14:paraId="3BE24D2A" w14:textId="77777777" w:rsidR="00A645FD" w:rsidRPr="00635BF9" w:rsidRDefault="00A645FD" w:rsidP="002E1C6D">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On Rel-17 unified TCI framework, support common TCI state ID update and activation to provide common QCL information and/or common UL TX spatial filter(s) across a set of configured CCs:</w:t>
                      </w:r>
                    </w:p>
                    <w:p w14:paraId="73B71627" w14:textId="77777777" w:rsidR="00A645FD" w:rsidRPr="00635BF9" w:rsidRDefault="00A645FD" w:rsidP="002E1C6D">
                      <w:pPr>
                        <w:numPr>
                          <w:ilvl w:val="0"/>
                          <w:numId w:val="36"/>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The above applies to intra-band CA</w:t>
                      </w:r>
                    </w:p>
                    <w:p w14:paraId="51D9C476" w14:textId="77777777" w:rsidR="00A645FD" w:rsidRPr="00635BF9" w:rsidRDefault="00A645FD" w:rsidP="002E1C6D">
                      <w:pPr>
                        <w:numPr>
                          <w:ilvl w:val="0"/>
                          <w:numId w:val="36"/>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The above applies to joint DL/UL and separate DL/UL beam indications </w:t>
                      </w:r>
                    </w:p>
                    <w:p w14:paraId="2A52CB18" w14:textId="77777777" w:rsidR="00A645FD" w:rsidRPr="00635BF9" w:rsidRDefault="00A645FD" w:rsidP="002E1C6D">
                      <w:pPr>
                        <w:numPr>
                          <w:ilvl w:val="0"/>
                          <w:numId w:val="36"/>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Just as Rel.16, the RS in the TCI state that provides QCL-TypeA [or QCL-TypeB] shall be in the same CC as the target channel or RS</w:t>
                      </w:r>
                    </w:p>
                    <w:p w14:paraId="45462498" w14:textId="77777777" w:rsidR="00A645FD" w:rsidRPr="00635BF9" w:rsidRDefault="00A645FD" w:rsidP="002E1C6D">
                      <w:pPr>
                        <w:numPr>
                          <w:ilvl w:val="0"/>
                          <w:numId w:val="36"/>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The common TCI state ID implies that the same/single RS determined according to the TCI state(s) indicated by a common TCI state ID is used to provide QCL Type-D indication and to determine UL TX spatial filter across the set of configured CCs</w:t>
                      </w:r>
                    </w:p>
                    <w:p w14:paraId="2EF6C2FF" w14:textId="77777777" w:rsidR="00A645FD" w:rsidRPr="00635BF9" w:rsidRDefault="00A645FD" w:rsidP="002E1C6D">
                      <w:pPr>
                        <w:numPr>
                          <w:ilvl w:val="0"/>
                          <w:numId w:val="36"/>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FFS: The above also applies to inter-band CA </w:t>
                      </w:r>
                    </w:p>
                    <w:p w14:paraId="4BA37A11" w14:textId="77777777" w:rsidR="00A645FD" w:rsidRPr="00635BF9" w:rsidRDefault="00A645FD" w:rsidP="002E1C6D">
                      <w:pPr>
                        <w:numPr>
                          <w:ilvl w:val="0"/>
                          <w:numId w:val="36"/>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FFS: TCI state pool for CA </w:t>
                      </w:r>
                    </w:p>
                    <w:p w14:paraId="598EB850" w14:textId="77777777" w:rsidR="00A645FD" w:rsidRPr="00635BF9" w:rsidRDefault="00A645FD" w:rsidP="002E1C6D">
                      <w:pPr>
                        <w:numPr>
                          <w:ilvl w:val="1"/>
                          <w:numId w:val="40"/>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zh-CN"/>
                        </w:rPr>
                        <w:t xml:space="preserve">Opt-1: sharing a single RRC TCI state pool for the set of configured CCs, e.g., cell-group TCI state pool, or reuse TCI state pool for PDSCH in a reference cell; </w:t>
                      </w:r>
                      <w:r w:rsidRPr="00635BF9">
                        <w:rPr>
                          <w:rFonts w:ascii="Times New Roman" w:eastAsia="Batang" w:hAnsi="Times New Roman" w:cs="Times New Roman"/>
                          <w:szCs w:val="20"/>
                          <w:shd w:val="clear" w:color="auto" w:fill="FFFFFF"/>
                          <w:lang w:val="en-GB" w:eastAsia="x-none"/>
                        </w:rPr>
                        <w:t>A CC ID for QCL-Type A RS is absent in a TCI state, and the CC ID for QCL-Type A RS is determined according to a target CC of the TCI state.</w:t>
                      </w:r>
                    </w:p>
                    <w:p w14:paraId="5341C29B" w14:textId="77777777" w:rsidR="00A645FD" w:rsidRPr="00635BF9" w:rsidRDefault="00A645FD" w:rsidP="002E1C6D">
                      <w:pPr>
                        <w:numPr>
                          <w:ilvl w:val="2"/>
                          <w:numId w:val="40"/>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it is possible that a single TCI state in the pool includes all source RSs from different CCs</w:t>
                      </w:r>
                    </w:p>
                    <w:p w14:paraId="1CD3A394" w14:textId="77777777" w:rsidR="00A645FD" w:rsidRPr="00635BF9" w:rsidRDefault="00A645FD" w:rsidP="002E1C6D">
                      <w:pPr>
                        <w:numPr>
                          <w:ilvl w:val="1"/>
                          <w:numId w:val="40"/>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zh-CN"/>
                        </w:rPr>
                        <w:t>Opt-2: configuring RRC TCI state pool per individual CC</w:t>
                      </w:r>
                    </w:p>
                    <w:p w14:paraId="02255529" w14:textId="39957CA2" w:rsidR="00A645FD" w:rsidRPr="002E1C6D" w:rsidRDefault="00A645FD" w:rsidP="002E1C6D">
                      <w:pPr>
                        <w:numPr>
                          <w:ilvl w:val="0"/>
                          <w:numId w:val="36"/>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the Rel-17 common beam update across multiple CCs applies to beam indication for single channel (e.g. PDSCH only, single CORESET), a subset of channels, or all channels</w:t>
                      </w:r>
                    </w:p>
                  </w:txbxContent>
                </v:textbox>
                <w10:anchorlock/>
              </v:shape>
            </w:pict>
          </mc:Fallback>
        </mc:AlternateContent>
      </w:r>
    </w:p>
    <w:p w14:paraId="5D527EA8" w14:textId="35D6B618" w:rsidR="009734F6" w:rsidRDefault="009734F6" w:rsidP="00555136">
      <w:pPr>
        <w:rPr>
          <w:rFonts w:cs="Arial"/>
          <w:szCs w:val="20"/>
          <w:lang w:val="en-GB" w:eastAsia="ja-JP"/>
        </w:rPr>
      </w:pPr>
      <w:r>
        <w:rPr>
          <w:rFonts w:cs="Arial"/>
          <w:szCs w:val="20"/>
          <w:lang w:val="en-GB" w:eastAsia="ja-JP"/>
        </w:rPr>
        <w:t>This agreement mentions that the RS that provides QCL-TypeA should be in the same CC as the target RS, hinting that the DL TCI state contains more than one RS. We propose to make it clear that the unified DL TCI state will have a similar structure as the Rel15/16 TCI state:</w:t>
      </w:r>
    </w:p>
    <w:p w14:paraId="09148F4A" w14:textId="42B81F9B" w:rsidR="009734F6" w:rsidRPr="00FF435C" w:rsidRDefault="009734F6" w:rsidP="009734F6">
      <w:pPr>
        <w:pStyle w:val="Proposal"/>
        <w:rPr>
          <w:lang w:val="en-GB"/>
        </w:rPr>
      </w:pPr>
      <w:bookmarkStart w:id="1" w:name="_Toc61889350"/>
      <w:r>
        <w:rPr>
          <w:lang w:val="en-GB"/>
        </w:rPr>
        <w:t xml:space="preserve">The unified DL TCI state contains one or </w:t>
      </w:r>
      <w:r w:rsidR="008A0B6C">
        <w:rPr>
          <w:lang w:val="en-GB"/>
        </w:rPr>
        <w:t xml:space="preserve">two RS each associated with a QCL Type, and the allowed combinations of (RS,QCL type) </w:t>
      </w:r>
      <w:r w:rsidR="008E3F25">
        <w:rPr>
          <w:lang w:val="en-GB"/>
        </w:rPr>
        <w:t>pairs</w:t>
      </w:r>
      <w:r w:rsidR="008A0B6C">
        <w:rPr>
          <w:lang w:val="en-GB"/>
        </w:rPr>
        <w:t xml:space="preserve"> are those defined in 38.214 for Rel-16.</w:t>
      </w:r>
      <w:bookmarkEnd w:id="1"/>
    </w:p>
    <w:p w14:paraId="6A06371B" w14:textId="77777777" w:rsidR="00D949E0" w:rsidRDefault="00D949E0" w:rsidP="00555136">
      <w:pPr>
        <w:rPr>
          <w:rFonts w:cs="Arial"/>
          <w:szCs w:val="20"/>
          <w:lang w:val="en-GB" w:eastAsia="ja-JP"/>
        </w:rPr>
      </w:pPr>
      <w:r w:rsidRPr="00D949E0">
        <w:rPr>
          <w:rFonts w:cs="Arial"/>
          <w:szCs w:val="20"/>
          <w:lang w:val="en-GB" w:eastAsia="ja-JP"/>
        </w:rPr>
        <w:t>Also</w:t>
      </w:r>
      <w:r>
        <w:rPr>
          <w:rFonts w:cs="Arial"/>
          <w:szCs w:val="20"/>
          <w:lang w:val="en-GB" w:eastAsia="ja-JP"/>
        </w:rPr>
        <w:t xml:space="preserve">, in Rel-15/16, one TCI state provides </w:t>
      </w:r>
      <w:r w:rsidRPr="006C1B56">
        <w:rPr>
          <w:rFonts w:cs="Arial"/>
          <w:i/>
          <w:szCs w:val="20"/>
          <w:lang w:val="en-GB" w:eastAsia="ja-JP"/>
        </w:rPr>
        <w:t>all</w:t>
      </w:r>
      <w:r>
        <w:rPr>
          <w:rFonts w:cs="Arial"/>
          <w:szCs w:val="20"/>
          <w:lang w:val="en-GB" w:eastAsia="ja-JP"/>
        </w:rPr>
        <w:t xml:space="preserve"> the QCL information needed to receive one target RS. The UE can derive </w:t>
      </w:r>
      <w:r w:rsidRPr="006C1B56">
        <w:rPr>
          <w:rFonts w:cs="Arial"/>
          <w:i/>
          <w:szCs w:val="20"/>
          <w:lang w:val="en-GB" w:eastAsia="ja-JP"/>
        </w:rPr>
        <w:t>all</w:t>
      </w:r>
      <w:r>
        <w:rPr>
          <w:rFonts w:cs="Arial"/>
          <w:szCs w:val="20"/>
          <w:lang w:val="en-GB" w:eastAsia="ja-JP"/>
        </w:rPr>
        <w:t xml:space="preserve"> the required channel properties from one TCI state. To receive different target RSs, the UE may need more than one TCI state. We propose to clarify this:</w:t>
      </w:r>
    </w:p>
    <w:p w14:paraId="076879E4" w14:textId="446A46B4" w:rsidR="00D949E0" w:rsidRDefault="00D949E0" w:rsidP="00D949E0">
      <w:pPr>
        <w:pStyle w:val="Proposal"/>
        <w:rPr>
          <w:lang w:val="en-GB"/>
        </w:rPr>
      </w:pPr>
      <w:bookmarkStart w:id="2" w:name="_Toc61889351"/>
      <w:r>
        <w:rPr>
          <w:lang w:val="en-GB"/>
        </w:rPr>
        <w:t xml:space="preserve">The UE may assume that the </w:t>
      </w:r>
      <w:r w:rsidR="002E5668">
        <w:rPr>
          <w:lang w:val="en-GB"/>
        </w:rPr>
        <w:t xml:space="preserve">large scale channel properties of one </w:t>
      </w:r>
      <w:r>
        <w:rPr>
          <w:lang w:val="en-GB"/>
        </w:rPr>
        <w:t>target DL</w:t>
      </w:r>
      <w:r w:rsidR="002E5668">
        <w:rPr>
          <w:lang w:val="en-GB"/>
        </w:rPr>
        <w:t xml:space="preserve"> RS can be inferred from the one or two RSs in one DL TCI state.</w:t>
      </w:r>
      <w:bookmarkEnd w:id="2"/>
    </w:p>
    <w:p w14:paraId="105DB267" w14:textId="035C564F" w:rsidR="004C06A4" w:rsidRDefault="004C06A4" w:rsidP="00555136">
      <w:pPr>
        <w:rPr>
          <w:rFonts w:cs="Arial"/>
          <w:szCs w:val="20"/>
          <w:lang w:val="en-GB" w:eastAsia="ja-JP"/>
        </w:rPr>
      </w:pPr>
      <w:r w:rsidRPr="004C06A4">
        <w:rPr>
          <w:rFonts w:cs="Arial"/>
          <w:szCs w:val="20"/>
          <w:lang w:val="en-GB" w:eastAsia="ja-JP"/>
        </w:rPr>
        <w:t xml:space="preserve">The same clarification should be made regarding the UL </w:t>
      </w:r>
      <w:r>
        <w:rPr>
          <w:rFonts w:cs="Arial"/>
          <w:szCs w:val="20"/>
          <w:lang w:val="en-GB" w:eastAsia="ja-JP"/>
        </w:rPr>
        <w:t xml:space="preserve">TCI state. The agreements are still somewhat confusing related to what one UL TCI state actually provides. Again, there </w:t>
      </w:r>
      <w:r w:rsidR="006C1B56">
        <w:rPr>
          <w:rFonts w:cs="Arial"/>
          <w:szCs w:val="20"/>
          <w:lang w:val="en-GB" w:eastAsia="ja-JP"/>
        </w:rPr>
        <w:t>must</w:t>
      </w:r>
      <w:r>
        <w:rPr>
          <w:rFonts w:cs="Arial"/>
          <w:szCs w:val="20"/>
          <w:lang w:val="en-GB" w:eastAsia="ja-JP"/>
        </w:rPr>
        <w:t xml:space="preserve"> be a one-to-one correspondence between</w:t>
      </w:r>
      <w:r w:rsidR="0005513A">
        <w:rPr>
          <w:rFonts w:cs="Arial"/>
          <w:szCs w:val="20"/>
          <w:lang w:val="en-GB" w:eastAsia="ja-JP"/>
        </w:rPr>
        <w:t xml:space="preserve"> the </w:t>
      </w:r>
      <w:r>
        <w:rPr>
          <w:rFonts w:cs="Arial"/>
          <w:szCs w:val="20"/>
          <w:lang w:val="en-GB" w:eastAsia="ja-JP"/>
        </w:rPr>
        <w:t>UL TCI</w:t>
      </w:r>
      <w:r w:rsidR="0005513A">
        <w:rPr>
          <w:rFonts w:cs="Arial"/>
          <w:szCs w:val="20"/>
          <w:lang w:val="en-GB" w:eastAsia="ja-JP"/>
        </w:rPr>
        <w:t xml:space="preserve"> and the target RS: for one RS transmission, the UE cannot derive the UL spatial filter from multiple UL TCI states:</w:t>
      </w:r>
    </w:p>
    <w:p w14:paraId="7679A9D6" w14:textId="4D061518" w:rsidR="004C06A4" w:rsidRPr="0005513A" w:rsidRDefault="0005513A" w:rsidP="00555136">
      <w:pPr>
        <w:pStyle w:val="Proposal"/>
        <w:rPr>
          <w:lang w:val="en-GB"/>
        </w:rPr>
      </w:pPr>
      <w:bookmarkStart w:id="3" w:name="_Toc61889352"/>
      <w:r>
        <w:rPr>
          <w:lang w:val="en-GB"/>
        </w:rPr>
        <w:t>The UE derives the UL spatial Tx filter for one channel/RS from one UL TCI state.</w:t>
      </w:r>
      <w:bookmarkEnd w:id="3"/>
      <w:r w:rsidRPr="0005513A">
        <w:rPr>
          <w:lang w:val="en-GB"/>
        </w:rPr>
        <w:t xml:space="preserve"> </w:t>
      </w:r>
    </w:p>
    <w:p w14:paraId="77AA806A" w14:textId="250E831F" w:rsidR="003835F3" w:rsidRDefault="0005513A" w:rsidP="00555136">
      <w:pPr>
        <w:rPr>
          <w:rFonts w:cs="Arial"/>
          <w:szCs w:val="20"/>
          <w:lang w:val="en-GB" w:eastAsia="ja-JP"/>
        </w:rPr>
      </w:pPr>
      <w:r>
        <w:rPr>
          <w:rFonts w:cs="Arial"/>
          <w:szCs w:val="20"/>
          <w:lang w:val="en-GB" w:eastAsia="ja-JP"/>
        </w:rPr>
        <w:t xml:space="preserve">To handle reception or transmission of different RS, more than one DL/UL TCI state </w:t>
      </w:r>
      <w:r w:rsidR="006C1B56">
        <w:rPr>
          <w:rFonts w:cs="Arial"/>
          <w:szCs w:val="20"/>
          <w:lang w:val="en-GB" w:eastAsia="ja-JP"/>
        </w:rPr>
        <w:t>w</w:t>
      </w:r>
      <w:r>
        <w:rPr>
          <w:rFonts w:cs="Arial"/>
          <w:szCs w:val="20"/>
          <w:lang w:val="en-GB" w:eastAsia="ja-JP"/>
        </w:rPr>
        <w:t>ould be used</w:t>
      </w:r>
      <w:r w:rsidR="006C1B56">
        <w:rPr>
          <w:rFonts w:cs="Arial"/>
          <w:szCs w:val="20"/>
          <w:lang w:val="en-GB" w:eastAsia="ja-JP"/>
        </w:rPr>
        <w:t xml:space="preserve">. </w:t>
      </w:r>
      <w:r w:rsidR="003835F3">
        <w:rPr>
          <w:rFonts w:cs="Arial"/>
          <w:szCs w:val="20"/>
          <w:lang w:val="en-GB" w:eastAsia="ja-JP"/>
        </w:rPr>
        <w:t>Another case where multiple DL/UL TCI states would be needed is if different RSs/channel would use different QCL assumptions, e.g., if some CORESETs would use one QCL assumption and other CORESETs would use another QCL assumption.</w:t>
      </w:r>
      <w:r w:rsidR="00FB585C">
        <w:rPr>
          <w:rFonts w:cs="Arial"/>
          <w:szCs w:val="20"/>
          <w:lang w:val="en-GB" w:eastAsia="ja-JP"/>
        </w:rPr>
        <w:t xml:space="preserve"> </w:t>
      </w:r>
    </w:p>
    <w:p w14:paraId="3A51A566" w14:textId="17ABD87B" w:rsidR="00220A5C" w:rsidRDefault="00FB585C" w:rsidP="00555136">
      <w:pPr>
        <w:rPr>
          <w:rFonts w:cs="Arial"/>
          <w:szCs w:val="20"/>
          <w:lang w:val="en-GB" w:eastAsia="ja-JP"/>
        </w:rPr>
      </w:pPr>
      <w:r>
        <w:rPr>
          <w:rFonts w:cs="Arial"/>
          <w:szCs w:val="20"/>
          <w:lang w:val="en-GB" w:eastAsia="ja-JP"/>
        </w:rPr>
        <w:t xml:space="preserve">The Rel-17 framework focus is on </w:t>
      </w:r>
      <w:r w:rsidRPr="00FB585C">
        <w:rPr>
          <w:rFonts w:cs="Arial"/>
          <w:i/>
          <w:iCs/>
          <w:szCs w:val="20"/>
          <w:lang w:val="en-GB" w:eastAsia="ja-JP"/>
        </w:rPr>
        <w:t>common beam</w:t>
      </w:r>
      <w:r>
        <w:rPr>
          <w:rFonts w:cs="Arial"/>
          <w:szCs w:val="20"/>
          <w:lang w:val="en-GB" w:eastAsia="ja-JP"/>
        </w:rPr>
        <w:t xml:space="preserve"> operation, the most common FR2 implementation. In common beam operation, all DL and UL channels would use the same beam, and it is also a natural assumption that all DL channels would use the same DL RS as QCL-TypeA source.</w:t>
      </w:r>
      <w:r w:rsidR="00220A5C">
        <w:rPr>
          <w:rFonts w:cs="Arial"/>
          <w:szCs w:val="20"/>
          <w:lang w:val="en-GB" w:eastAsia="ja-JP"/>
        </w:rPr>
        <w:t xml:space="preserve"> With an optimized common beam operation, the beam can be updated using only one signalling element, typically </w:t>
      </w:r>
      <w:r w:rsidR="0030490D">
        <w:rPr>
          <w:rFonts w:cs="Arial"/>
          <w:szCs w:val="20"/>
          <w:lang w:val="en-GB" w:eastAsia="ja-JP"/>
        </w:rPr>
        <w:t xml:space="preserve">using </w:t>
      </w:r>
      <w:r w:rsidR="00220A5C">
        <w:rPr>
          <w:rFonts w:cs="Arial"/>
          <w:szCs w:val="20"/>
          <w:lang w:val="en-GB" w:eastAsia="ja-JP"/>
        </w:rPr>
        <w:t xml:space="preserve">DCI/MAC CE. </w:t>
      </w:r>
    </w:p>
    <w:p w14:paraId="5552B2F0" w14:textId="77777777" w:rsidR="009F7D7C" w:rsidRDefault="00220A5C" w:rsidP="009F7D7C">
      <w:pPr>
        <w:rPr>
          <w:lang w:val="en-GB" w:eastAsia="ja-JP"/>
        </w:rPr>
      </w:pPr>
      <w:r>
        <w:rPr>
          <w:rFonts w:cs="Arial"/>
          <w:szCs w:val="20"/>
          <w:lang w:val="en-GB" w:eastAsia="ja-JP"/>
        </w:rPr>
        <w:t xml:space="preserve">Such common beam operation </w:t>
      </w:r>
      <w:r w:rsidR="0030490D">
        <w:rPr>
          <w:rFonts w:cs="Arial"/>
          <w:szCs w:val="20"/>
          <w:lang w:val="en-GB" w:eastAsia="ja-JP"/>
        </w:rPr>
        <w:t xml:space="preserve">exists already in </w:t>
      </w:r>
      <w:r>
        <w:rPr>
          <w:rFonts w:cs="Arial"/>
          <w:szCs w:val="20"/>
          <w:lang w:val="en-GB" w:eastAsia="ja-JP"/>
        </w:rPr>
        <w:t>Rel-16</w:t>
      </w:r>
      <w:r w:rsidR="0030490D">
        <w:rPr>
          <w:rFonts w:cs="Arial"/>
          <w:szCs w:val="20"/>
          <w:lang w:val="en-GB" w:eastAsia="ja-JP"/>
        </w:rPr>
        <w:t xml:space="preserve">: </w:t>
      </w:r>
      <w:r w:rsidR="0030490D" w:rsidRPr="0030490D">
        <w:rPr>
          <w:rFonts w:cs="Arial"/>
          <w:szCs w:val="20"/>
          <w:lang w:val="en-GB" w:eastAsia="ja-JP"/>
        </w:rPr>
        <w:t>the TCI state of the PDSCH, and the TCI state of CSI-RS can be derived from the TCI state of a certain CORESET</w:t>
      </w:r>
      <w:r w:rsidR="0030490D">
        <w:rPr>
          <w:rFonts w:cs="Arial"/>
          <w:szCs w:val="20"/>
          <w:lang w:val="en-GB" w:eastAsia="ja-JP"/>
        </w:rPr>
        <w:t>. Furthermore</w:t>
      </w:r>
      <w:r w:rsidR="009F7D7C">
        <w:rPr>
          <w:rFonts w:cs="Arial"/>
          <w:szCs w:val="20"/>
          <w:lang w:val="en-GB" w:eastAsia="ja-JP"/>
        </w:rPr>
        <w:t xml:space="preserve">, </w:t>
      </w:r>
      <w:r w:rsidR="009F7D7C">
        <w:rPr>
          <w:lang w:val="en-GB" w:eastAsia="ja-JP"/>
        </w:rPr>
        <w:t xml:space="preserve">it was specified that the second RS of a certain TCI state can be used to also determine the UL TX beam of the UE, via the introduction of default spatial relations, defined for PUCCH, SRS and PUSCH. We thus note that Rel.15/16 has in fact already defined a joint TCI, since it is possible to configure </w:t>
      </w:r>
      <w:r w:rsidR="009F7D7C" w:rsidRPr="00D1784D">
        <w:rPr>
          <w:lang w:val="en-GB" w:eastAsia="ja-JP"/>
        </w:rPr>
        <w:t xml:space="preserve">one source RS </w:t>
      </w:r>
      <w:r w:rsidR="009F7D7C">
        <w:rPr>
          <w:lang w:val="en-GB" w:eastAsia="ja-JP"/>
        </w:rPr>
        <w:t xml:space="preserve">to </w:t>
      </w:r>
      <w:r w:rsidR="009F7D7C" w:rsidRPr="00D1784D">
        <w:rPr>
          <w:lang w:val="en-GB" w:eastAsia="ja-JP"/>
        </w:rPr>
        <w:t>provide a reference (UE assumption) for determining QCL and/or spatial filter</w:t>
      </w:r>
      <w:r w:rsidR="009F7D7C">
        <w:rPr>
          <w:lang w:val="en-GB" w:eastAsia="ja-JP"/>
        </w:rPr>
        <w:t xml:space="preserve"> for DL reception, as well for </w:t>
      </w:r>
      <w:r w:rsidR="009F7D7C" w:rsidRPr="00D1784D">
        <w:rPr>
          <w:lang w:val="en-GB" w:eastAsia="ja-JP"/>
        </w:rPr>
        <w:t>UL TX spatial filter(s)</w:t>
      </w:r>
      <w:r w:rsidR="009F7D7C">
        <w:rPr>
          <w:lang w:val="en-GB" w:eastAsia="ja-JP"/>
        </w:rPr>
        <w:t>:</w:t>
      </w:r>
    </w:p>
    <w:p w14:paraId="649D1AF2" w14:textId="72327FA0" w:rsidR="009F7D7C" w:rsidRPr="009F7D7C" w:rsidRDefault="009F7D7C" w:rsidP="009F7D7C">
      <w:pPr>
        <w:pStyle w:val="Observation"/>
        <w:rPr>
          <w:lang w:val="en-GB"/>
        </w:rPr>
      </w:pPr>
      <w:bookmarkStart w:id="4" w:name="_Toc61889338"/>
      <w:r>
        <w:rPr>
          <w:lang w:val="en-GB"/>
        </w:rPr>
        <w:t>In Rel.16, one RS in a TCI state can be used to determine the QCL properties for DL reception, the spatial filter for DL reception and the UL TX spatial filter.</w:t>
      </w:r>
      <w:bookmarkEnd w:id="4"/>
      <w:r>
        <w:rPr>
          <w:lang w:val="en-GB"/>
        </w:rPr>
        <w:t xml:space="preserve"> </w:t>
      </w:r>
    </w:p>
    <w:p w14:paraId="666D1E0C" w14:textId="1FAB894C" w:rsidR="009F7D7C" w:rsidRDefault="009F7D7C" w:rsidP="009F7D7C">
      <w:pPr>
        <w:rPr>
          <w:lang w:val="en-GB" w:eastAsia="ja-JP"/>
        </w:rPr>
      </w:pPr>
      <w:r>
        <w:rPr>
          <w:lang w:val="en-GB" w:eastAsia="ja-JP"/>
        </w:rPr>
        <w:t>However, there are at least two issues with the Rel-16 common beam operation:</w:t>
      </w:r>
    </w:p>
    <w:p w14:paraId="0326956B" w14:textId="77777777" w:rsidR="009F7D7C" w:rsidRPr="00897016" w:rsidRDefault="009F7D7C" w:rsidP="009F7D7C">
      <w:pPr>
        <w:pStyle w:val="ListParagraph"/>
        <w:numPr>
          <w:ilvl w:val="0"/>
          <w:numId w:val="16"/>
        </w:numPr>
        <w:rPr>
          <w:rFonts w:ascii="Arial" w:hAnsi="Arial" w:cs="Arial"/>
          <w:sz w:val="20"/>
          <w:szCs w:val="20"/>
          <w:lang w:val="en-GB" w:eastAsia="ja-JP"/>
        </w:rPr>
      </w:pPr>
      <w:r w:rsidRPr="00897016">
        <w:rPr>
          <w:rFonts w:ascii="Arial" w:hAnsi="Arial" w:cs="Arial"/>
          <w:sz w:val="20"/>
          <w:szCs w:val="20"/>
          <w:lang w:val="en-GB" w:eastAsia="ja-JP"/>
        </w:rPr>
        <w:t>The default PDSCH TCI state is not perfectly aligned with the default spatial relation for the UL signals. The default spatial relation uses the QCL-TypeD RS in the TCI state of the CORESET with the lowest CORESET Id, whereas the default TCI state for PDSCH uses the lowest CORESET Id that is monitored in the current slot.</w:t>
      </w:r>
    </w:p>
    <w:p w14:paraId="5D5CB95E" w14:textId="4F6B0453" w:rsidR="00FB585C" w:rsidRPr="009F7D7C" w:rsidRDefault="009F7D7C" w:rsidP="009F7D7C">
      <w:pPr>
        <w:pStyle w:val="ListParagraph"/>
        <w:numPr>
          <w:ilvl w:val="0"/>
          <w:numId w:val="16"/>
        </w:numPr>
        <w:rPr>
          <w:rFonts w:ascii="Arial" w:hAnsi="Arial" w:cs="Arial"/>
          <w:sz w:val="20"/>
          <w:szCs w:val="18"/>
          <w:lang w:val="en-GB" w:eastAsia="ja-JP"/>
        </w:rPr>
      </w:pPr>
      <w:r w:rsidRPr="009F7D7C">
        <w:rPr>
          <w:rFonts w:ascii="Arial" w:hAnsi="Arial" w:cs="Arial"/>
          <w:sz w:val="20"/>
          <w:szCs w:val="18"/>
          <w:lang w:val="en-GB" w:eastAsia="ja-JP"/>
        </w:rPr>
        <w:t xml:space="preserve">The default TCI state of aperiodic CSI-RS is only applicable when the CSI-RS triggering offset is smaller than </w:t>
      </w:r>
      <w:r w:rsidRPr="009F7D7C">
        <w:rPr>
          <w:rFonts w:ascii="Arial" w:hAnsi="Arial" w:cs="Arial"/>
          <w:i/>
          <w:iCs/>
          <w:sz w:val="20"/>
          <w:szCs w:val="18"/>
          <w:lang w:val="en-GB" w:eastAsia="ja-JP"/>
        </w:rPr>
        <w:t xml:space="preserve">beamSwitchTiming. </w:t>
      </w:r>
      <w:r w:rsidRPr="009F7D7C">
        <w:rPr>
          <w:rFonts w:ascii="Arial" w:hAnsi="Arial" w:cs="Arial"/>
          <w:sz w:val="20"/>
          <w:szCs w:val="18"/>
          <w:lang w:val="en-GB" w:eastAsia="ja-JP"/>
        </w:rPr>
        <w:t xml:space="preserve"> For larger values of </w:t>
      </w:r>
      <w:r w:rsidRPr="009F7D7C">
        <w:rPr>
          <w:rFonts w:ascii="Arial" w:hAnsi="Arial" w:cs="Arial"/>
          <w:i/>
          <w:iCs/>
          <w:sz w:val="20"/>
          <w:szCs w:val="18"/>
          <w:lang w:val="en-GB" w:eastAsia="ja-JP"/>
        </w:rPr>
        <w:t xml:space="preserve">beamSwitchTiming, </w:t>
      </w:r>
      <w:r w:rsidRPr="009F7D7C">
        <w:rPr>
          <w:rFonts w:ascii="Arial" w:hAnsi="Arial" w:cs="Arial"/>
          <w:sz w:val="20"/>
          <w:szCs w:val="18"/>
          <w:lang w:val="en-GB" w:eastAsia="ja-JP"/>
        </w:rPr>
        <w:t>streamlined common beam operation is not possible</w:t>
      </w:r>
      <w:r w:rsidRPr="009F7D7C">
        <w:rPr>
          <w:rFonts w:ascii="Arial" w:hAnsi="Arial" w:cs="Arial"/>
          <w:sz w:val="20"/>
          <w:szCs w:val="20"/>
          <w:lang w:val="en-GB" w:eastAsia="ja-JP"/>
        </w:rPr>
        <w:t>.</w:t>
      </w:r>
    </w:p>
    <w:p w14:paraId="00322432" w14:textId="4A0CDBD6" w:rsidR="009F7D7C" w:rsidRDefault="009F7D7C" w:rsidP="00555136">
      <w:pPr>
        <w:rPr>
          <w:rFonts w:cs="Arial"/>
          <w:szCs w:val="20"/>
          <w:lang w:val="en-GB" w:eastAsia="ja-JP"/>
        </w:rPr>
      </w:pPr>
      <w:r>
        <w:rPr>
          <w:rFonts w:cs="Arial"/>
          <w:szCs w:val="20"/>
          <w:lang w:val="en-GB" w:eastAsia="ja-JP"/>
        </w:rPr>
        <w:t>Since there is only a single TCI state defined in the Rel-17 framework</w:t>
      </w:r>
      <w:r w:rsidR="00DF1968">
        <w:rPr>
          <w:rFonts w:cs="Arial"/>
          <w:szCs w:val="20"/>
          <w:lang w:val="en-GB" w:eastAsia="ja-JP"/>
        </w:rPr>
        <w:t xml:space="preserve"> baseline</w:t>
      </w:r>
      <w:r>
        <w:rPr>
          <w:rFonts w:cs="Arial"/>
          <w:szCs w:val="20"/>
          <w:lang w:val="en-GB" w:eastAsia="ja-JP"/>
        </w:rPr>
        <w:t>, the first issue is automatically solved. For the second issue</w:t>
      </w:r>
      <w:r w:rsidR="00DF1968">
        <w:rPr>
          <w:rFonts w:cs="Arial"/>
          <w:szCs w:val="20"/>
          <w:lang w:val="en-GB" w:eastAsia="ja-JP"/>
        </w:rPr>
        <w:t>, it is imperative to make sure that also all types of CSI-RS can be used with common beam operation.</w:t>
      </w:r>
    </w:p>
    <w:p w14:paraId="7802CE7E" w14:textId="0D7BEAFE" w:rsidR="00DF1968" w:rsidRDefault="00DF1968" w:rsidP="00DF1968">
      <w:pPr>
        <w:pStyle w:val="Heading4"/>
      </w:pPr>
      <w:r>
        <w:t>2.1.1.1</w:t>
      </w:r>
      <w:r>
        <w:tab/>
        <w:t>Possible target RSs for the unified TCI</w:t>
      </w:r>
    </w:p>
    <w:p w14:paraId="3C0727BF" w14:textId="1A5F0026" w:rsidR="0035283F" w:rsidRDefault="00DF1968" w:rsidP="00DF1968">
      <w:pPr>
        <w:rPr>
          <w:lang w:val="en-GB" w:eastAsia="ja-JP"/>
        </w:rPr>
      </w:pPr>
      <w:r>
        <w:rPr>
          <w:lang w:val="en-GB" w:eastAsia="ja-JP"/>
        </w:rPr>
        <w:t>In Rel-17, the intent is that the unified TCI is the only way to convey DL QCL assumptions and spatial Tx filter information to the UE</w:t>
      </w:r>
      <w:r w:rsidR="0051204A">
        <w:rPr>
          <w:lang w:val="en-GB" w:eastAsia="ja-JP"/>
        </w:rPr>
        <w:t>: we do not mix unified TCI states with Rel-15/16 TCI states or Rel-15/16 spatial relations</w:t>
      </w:r>
      <w:r w:rsidR="0035283F">
        <w:rPr>
          <w:lang w:val="en-GB" w:eastAsia="ja-JP"/>
        </w:rPr>
        <w:t>:</w:t>
      </w:r>
      <w:r>
        <w:rPr>
          <w:lang w:val="en-GB" w:eastAsia="ja-JP"/>
        </w:rPr>
        <w:t xml:space="preserve"> </w:t>
      </w:r>
    </w:p>
    <w:p w14:paraId="22F83D15" w14:textId="535702A3" w:rsidR="0035283F" w:rsidRDefault="0035283F" w:rsidP="0035283F">
      <w:pPr>
        <w:pStyle w:val="Proposal"/>
        <w:rPr>
          <w:lang w:val="en-GB"/>
        </w:rPr>
      </w:pPr>
      <w:bookmarkStart w:id="5" w:name="_Toc61889353"/>
      <w:r>
        <w:rPr>
          <w:lang w:val="en-GB"/>
        </w:rPr>
        <w:t>A UE can be configured either with unified TCI states or Rel-15/16 TCI states and spatial relations.</w:t>
      </w:r>
      <w:bookmarkEnd w:id="5"/>
    </w:p>
    <w:p w14:paraId="50C42847" w14:textId="0CB1BDF5" w:rsidR="00A87DB4" w:rsidRDefault="00DF1968" w:rsidP="009C0304">
      <w:pPr>
        <w:rPr>
          <w:lang w:val="en-GB" w:eastAsia="ja-JP"/>
        </w:rPr>
      </w:pPr>
      <w:r>
        <w:rPr>
          <w:lang w:val="en-GB" w:eastAsia="ja-JP"/>
        </w:rPr>
        <w:t xml:space="preserve">Thus, the starting point is that </w:t>
      </w:r>
      <w:r w:rsidRPr="00A87DB4">
        <w:rPr>
          <w:i/>
          <w:iCs/>
          <w:lang w:val="en-GB" w:eastAsia="ja-JP"/>
        </w:rPr>
        <w:t>all</w:t>
      </w:r>
      <w:r>
        <w:rPr>
          <w:lang w:val="en-GB" w:eastAsia="ja-JP"/>
        </w:rPr>
        <w:t xml:space="preserve"> RSs/channel can </w:t>
      </w:r>
      <w:r w:rsidR="00A87DB4">
        <w:rPr>
          <w:lang w:val="en-GB" w:eastAsia="ja-JP"/>
        </w:rPr>
        <w:t>use the RSs in a unified TCI state as a DL QCL source and to determine the spatial Tx filter</w:t>
      </w:r>
      <w:r w:rsidR="007F304A">
        <w:rPr>
          <w:lang w:val="en-GB" w:eastAsia="ja-JP"/>
        </w:rPr>
        <w:t xml:space="preserve"> </w:t>
      </w:r>
    </w:p>
    <w:p w14:paraId="05A601A7" w14:textId="280200C2" w:rsidR="00101DB7" w:rsidRDefault="00101DB7" w:rsidP="00DF1968">
      <w:pPr>
        <w:rPr>
          <w:lang w:val="en-GB" w:eastAsia="ja-JP"/>
        </w:rPr>
      </w:pPr>
      <w:r>
        <w:rPr>
          <w:lang w:val="en-GB" w:eastAsia="ja-JP"/>
        </w:rPr>
        <w:t>An issue that has been discussed to some extent is what RSs/channels should be able to rely on the common TCI state. The agreements so far are related to PDCCH, PDSCH, PUCCH and PUSCH.</w:t>
      </w:r>
      <w:r w:rsidR="000C4DEF">
        <w:rPr>
          <w:lang w:val="en-GB" w:eastAsia="ja-JP"/>
        </w:rPr>
        <w:t xml:space="preserve"> However, there are many other channels that would be relevant: already the Rel-15/16 framework facilitates common beam operation </w:t>
      </w:r>
      <w:r w:rsidR="00B91701">
        <w:rPr>
          <w:lang w:val="en-GB" w:eastAsia="ja-JP"/>
        </w:rPr>
        <w:t xml:space="preserve">also </w:t>
      </w:r>
      <w:r w:rsidR="000C4DEF">
        <w:rPr>
          <w:lang w:val="en-GB" w:eastAsia="ja-JP"/>
        </w:rPr>
        <w:t xml:space="preserve">for CSI-RS and SRS. We summarize the relevant channels in </w:t>
      </w:r>
      <w:r w:rsidR="00C06B65">
        <w:rPr>
          <w:lang w:val="en-GB" w:eastAsia="ja-JP"/>
        </w:rPr>
        <w:fldChar w:fldCharType="begin"/>
      </w:r>
      <w:r w:rsidR="00C06B65">
        <w:rPr>
          <w:lang w:val="en-GB" w:eastAsia="ja-JP"/>
        </w:rPr>
        <w:instrText xml:space="preserve"> REF _Ref61336392 \h </w:instrText>
      </w:r>
      <w:r w:rsidR="00C06B65">
        <w:rPr>
          <w:lang w:val="en-GB" w:eastAsia="ja-JP"/>
        </w:rPr>
      </w:r>
      <w:r w:rsidR="00C06B65">
        <w:rPr>
          <w:lang w:val="en-GB" w:eastAsia="ja-JP"/>
        </w:rPr>
        <w:fldChar w:fldCharType="separate"/>
      </w:r>
      <w:r w:rsidR="000B407C">
        <w:t xml:space="preserve">Table </w:t>
      </w:r>
      <w:r w:rsidR="000B407C">
        <w:rPr>
          <w:noProof/>
        </w:rPr>
        <w:t>1</w:t>
      </w:r>
      <w:r w:rsidR="00C06B65">
        <w:rPr>
          <w:lang w:val="en-GB" w:eastAsia="ja-JP"/>
        </w:rPr>
        <w:fldChar w:fldCharType="end"/>
      </w:r>
      <w:r w:rsidR="00C06B65">
        <w:rPr>
          <w:lang w:val="en-GB" w:eastAsia="ja-JP"/>
        </w:rPr>
        <w:t>.</w:t>
      </w:r>
    </w:p>
    <w:p w14:paraId="11876442" w14:textId="6BB6A0E9" w:rsidR="000C4DEF" w:rsidRDefault="00C06B65" w:rsidP="00C06B65">
      <w:pPr>
        <w:pStyle w:val="Caption"/>
        <w:rPr>
          <w:lang w:val="en-GB" w:eastAsia="ja-JP"/>
        </w:rPr>
      </w:pPr>
      <w:bookmarkStart w:id="6" w:name="_Ref61336392"/>
      <w:r>
        <w:t xml:space="preserve">Table </w:t>
      </w:r>
      <w:r>
        <w:fldChar w:fldCharType="begin"/>
      </w:r>
      <w:r>
        <w:instrText xml:space="preserve"> SEQ Table \* ARABIC </w:instrText>
      </w:r>
      <w:r>
        <w:fldChar w:fldCharType="separate"/>
      </w:r>
      <w:r w:rsidR="000B407C">
        <w:rPr>
          <w:noProof/>
        </w:rPr>
        <w:t>1</w:t>
      </w:r>
      <w:r>
        <w:fldChar w:fldCharType="end"/>
      </w:r>
      <w:bookmarkEnd w:id="6"/>
      <w:r>
        <w:t>: Channels where the common TCI is applicable.</w:t>
      </w:r>
    </w:p>
    <w:tbl>
      <w:tblPr>
        <w:tblStyle w:val="TableGrid"/>
        <w:tblW w:w="0" w:type="auto"/>
        <w:tblLook w:val="04A0" w:firstRow="1" w:lastRow="0" w:firstColumn="1" w:lastColumn="0" w:noHBand="0" w:noVBand="1"/>
      </w:tblPr>
      <w:tblGrid>
        <w:gridCol w:w="2246"/>
        <w:gridCol w:w="1281"/>
      </w:tblGrid>
      <w:tr w:rsidR="000C4DEF" w14:paraId="5907BFC3" w14:textId="77777777" w:rsidTr="00B91701">
        <w:tc>
          <w:tcPr>
            <w:tcW w:w="2246" w:type="dxa"/>
          </w:tcPr>
          <w:p w14:paraId="3528FB21" w14:textId="29159D2F" w:rsidR="000C4DEF" w:rsidRDefault="000C4DEF" w:rsidP="00DF1968">
            <w:pPr>
              <w:rPr>
                <w:lang w:val="en-GB" w:eastAsia="ja-JP"/>
              </w:rPr>
            </w:pPr>
            <w:r>
              <w:rPr>
                <w:lang w:val="en-GB" w:eastAsia="ja-JP"/>
              </w:rPr>
              <w:t>RS/channel</w:t>
            </w:r>
          </w:p>
        </w:tc>
        <w:tc>
          <w:tcPr>
            <w:tcW w:w="1281" w:type="dxa"/>
          </w:tcPr>
          <w:p w14:paraId="00370000" w14:textId="77777777" w:rsidR="000C4DEF" w:rsidRDefault="000C4DEF" w:rsidP="00DF1968">
            <w:pPr>
              <w:rPr>
                <w:lang w:val="en-GB" w:eastAsia="ja-JP"/>
              </w:rPr>
            </w:pPr>
          </w:p>
        </w:tc>
      </w:tr>
      <w:tr w:rsidR="000C4DEF" w14:paraId="5C245568" w14:textId="77777777" w:rsidTr="00B91701">
        <w:tc>
          <w:tcPr>
            <w:tcW w:w="2246" w:type="dxa"/>
          </w:tcPr>
          <w:p w14:paraId="19548BC9" w14:textId="70FF579C" w:rsidR="000C4DEF" w:rsidRDefault="001A2533" w:rsidP="00DF1968">
            <w:pPr>
              <w:rPr>
                <w:lang w:val="en-GB" w:eastAsia="ja-JP"/>
              </w:rPr>
            </w:pPr>
            <w:r>
              <w:rPr>
                <w:lang w:val="en-GB" w:eastAsia="ja-JP"/>
              </w:rPr>
              <w:t xml:space="preserve">PDCCH/PDSCH </w:t>
            </w:r>
          </w:p>
        </w:tc>
        <w:tc>
          <w:tcPr>
            <w:tcW w:w="1281" w:type="dxa"/>
          </w:tcPr>
          <w:p w14:paraId="5B836E1E" w14:textId="2A0F1EFB" w:rsidR="000C4DEF" w:rsidRDefault="001A2533" w:rsidP="00DF1968">
            <w:pPr>
              <w:rPr>
                <w:lang w:val="en-GB" w:eastAsia="ja-JP"/>
              </w:rPr>
            </w:pPr>
            <w:r>
              <w:rPr>
                <w:lang w:val="en-GB" w:eastAsia="ja-JP"/>
              </w:rPr>
              <w:t>Agreed</w:t>
            </w:r>
          </w:p>
        </w:tc>
      </w:tr>
      <w:tr w:rsidR="000C4DEF" w14:paraId="67B54F7C" w14:textId="77777777" w:rsidTr="00B91701">
        <w:tc>
          <w:tcPr>
            <w:tcW w:w="2246" w:type="dxa"/>
          </w:tcPr>
          <w:p w14:paraId="78ED4ED2" w14:textId="4D96D436" w:rsidR="000C4DEF" w:rsidRDefault="001A2533" w:rsidP="00DF1968">
            <w:pPr>
              <w:rPr>
                <w:lang w:val="en-GB" w:eastAsia="ja-JP"/>
              </w:rPr>
            </w:pPr>
            <w:r>
              <w:rPr>
                <w:lang w:val="en-GB" w:eastAsia="ja-JP"/>
              </w:rPr>
              <w:t>PUCCH/PUSCH</w:t>
            </w:r>
          </w:p>
        </w:tc>
        <w:tc>
          <w:tcPr>
            <w:tcW w:w="1281" w:type="dxa"/>
          </w:tcPr>
          <w:p w14:paraId="42F5B88A" w14:textId="20382DD8" w:rsidR="000C4DEF" w:rsidRDefault="001A2533" w:rsidP="00DF1968">
            <w:pPr>
              <w:rPr>
                <w:lang w:val="en-GB" w:eastAsia="ja-JP"/>
              </w:rPr>
            </w:pPr>
            <w:r>
              <w:rPr>
                <w:lang w:val="en-GB" w:eastAsia="ja-JP"/>
              </w:rPr>
              <w:t>Agreed</w:t>
            </w:r>
          </w:p>
        </w:tc>
      </w:tr>
      <w:tr w:rsidR="000C4DEF" w14:paraId="0058B6DC" w14:textId="77777777" w:rsidTr="00B91701">
        <w:tc>
          <w:tcPr>
            <w:tcW w:w="2246" w:type="dxa"/>
          </w:tcPr>
          <w:p w14:paraId="31B74195" w14:textId="7297FE34" w:rsidR="000C4DEF" w:rsidRDefault="001A2533" w:rsidP="00DF1968">
            <w:pPr>
              <w:rPr>
                <w:lang w:val="en-GB" w:eastAsia="ja-JP"/>
              </w:rPr>
            </w:pPr>
            <w:r>
              <w:rPr>
                <w:lang w:val="en-GB" w:eastAsia="ja-JP"/>
              </w:rPr>
              <w:t>CSI-RS for CSI</w:t>
            </w:r>
          </w:p>
        </w:tc>
        <w:tc>
          <w:tcPr>
            <w:tcW w:w="1281" w:type="dxa"/>
          </w:tcPr>
          <w:p w14:paraId="5E5BBC6E" w14:textId="1A940FDC" w:rsidR="000C4DEF" w:rsidRDefault="00C06B65" w:rsidP="00DF1968">
            <w:pPr>
              <w:rPr>
                <w:lang w:val="en-GB" w:eastAsia="ja-JP"/>
              </w:rPr>
            </w:pPr>
            <w:r>
              <w:rPr>
                <w:lang w:val="en-GB" w:eastAsia="ja-JP"/>
              </w:rPr>
              <w:t>Proposed</w:t>
            </w:r>
          </w:p>
        </w:tc>
      </w:tr>
      <w:tr w:rsidR="000C4DEF" w14:paraId="2D0BA3F8" w14:textId="77777777" w:rsidTr="00B91701">
        <w:tc>
          <w:tcPr>
            <w:tcW w:w="2246" w:type="dxa"/>
          </w:tcPr>
          <w:p w14:paraId="666BC2CD" w14:textId="1DFC89CE" w:rsidR="000C4DEF" w:rsidRDefault="001A2533" w:rsidP="00DF1968">
            <w:pPr>
              <w:rPr>
                <w:lang w:val="en-GB" w:eastAsia="ja-JP"/>
              </w:rPr>
            </w:pPr>
            <w:r>
              <w:rPr>
                <w:lang w:val="en-GB" w:eastAsia="ja-JP"/>
              </w:rPr>
              <w:t>CSI-RS for BM (off)</w:t>
            </w:r>
          </w:p>
        </w:tc>
        <w:tc>
          <w:tcPr>
            <w:tcW w:w="1281" w:type="dxa"/>
          </w:tcPr>
          <w:p w14:paraId="4F1D2B1C" w14:textId="1C372880" w:rsidR="000C4DEF" w:rsidRDefault="00C06B65" w:rsidP="00DF1968">
            <w:pPr>
              <w:rPr>
                <w:lang w:val="en-GB" w:eastAsia="ja-JP"/>
              </w:rPr>
            </w:pPr>
            <w:r>
              <w:rPr>
                <w:lang w:val="en-GB" w:eastAsia="ja-JP"/>
              </w:rPr>
              <w:t>Proposed</w:t>
            </w:r>
          </w:p>
        </w:tc>
      </w:tr>
      <w:tr w:rsidR="000C4DEF" w14:paraId="3675779A" w14:textId="77777777" w:rsidTr="00B91701">
        <w:tc>
          <w:tcPr>
            <w:tcW w:w="2246" w:type="dxa"/>
          </w:tcPr>
          <w:p w14:paraId="329E2FEB" w14:textId="521E69EA" w:rsidR="000C4DEF" w:rsidRDefault="001A2533" w:rsidP="00DF1968">
            <w:pPr>
              <w:rPr>
                <w:lang w:val="en-GB" w:eastAsia="ja-JP"/>
              </w:rPr>
            </w:pPr>
            <w:r>
              <w:rPr>
                <w:lang w:val="en-GB" w:eastAsia="ja-JP"/>
              </w:rPr>
              <w:t>CSI-RS for BM (on)</w:t>
            </w:r>
          </w:p>
        </w:tc>
        <w:tc>
          <w:tcPr>
            <w:tcW w:w="1281" w:type="dxa"/>
          </w:tcPr>
          <w:p w14:paraId="79A12781" w14:textId="79AF4214" w:rsidR="000C4DEF" w:rsidRDefault="00C06B65" w:rsidP="00DF1968">
            <w:pPr>
              <w:rPr>
                <w:lang w:val="en-GB" w:eastAsia="ja-JP"/>
              </w:rPr>
            </w:pPr>
            <w:r>
              <w:rPr>
                <w:lang w:val="en-GB" w:eastAsia="ja-JP"/>
              </w:rPr>
              <w:t>Proposed</w:t>
            </w:r>
          </w:p>
        </w:tc>
      </w:tr>
      <w:tr w:rsidR="000C4DEF" w14:paraId="46D30E44" w14:textId="77777777" w:rsidTr="00B91701">
        <w:tc>
          <w:tcPr>
            <w:tcW w:w="2246" w:type="dxa"/>
          </w:tcPr>
          <w:p w14:paraId="1902434A" w14:textId="6CB94CEA" w:rsidR="000C4DEF" w:rsidRDefault="00C06B65" w:rsidP="00DF1968">
            <w:pPr>
              <w:rPr>
                <w:lang w:val="en-GB" w:eastAsia="ja-JP"/>
              </w:rPr>
            </w:pPr>
            <w:r>
              <w:rPr>
                <w:lang w:val="en-GB" w:eastAsia="ja-JP"/>
              </w:rPr>
              <w:t>SRS – CB-based</w:t>
            </w:r>
          </w:p>
        </w:tc>
        <w:tc>
          <w:tcPr>
            <w:tcW w:w="1281" w:type="dxa"/>
          </w:tcPr>
          <w:p w14:paraId="06DC270F" w14:textId="0F311A9E" w:rsidR="000C4DEF" w:rsidRDefault="00C06B65" w:rsidP="00DF1968">
            <w:pPr>
              <w:rPr>
                <w:lang w:val="en-GB" w:eastAsia="ja-JP"/>
              </w:rPr>
            </w:pPr>
            <w:r>
              <w:rPr>
                <w:lang w:val="en-GB" w:eastAsia="ja-JP"/>
              </w:rPr>
              <w:t>Proposed</w:t>
            </w:r>
          </w:p>
        </w:tc>
      </w:tr>
      <w:tr w:rsidR="00C06B65" w14:paraId="3496D293" w14:textId="77777777" w:rsidTr="00B91701">
        <w:tc>
          <w:tcPr>
            <w:tcW w:w="2246" w:type="dxa"/>
          </w:tcPr>
          <w:p w14:paraId="33FAB877" w14:textId="73F94BE9" w:rsidR="00C06B65" w:rsidRDefault="00C06B65" w:rsidP="00C06B65">
            <w:pPr>
              <w:rPr>
                <w:lang w:val="en-GB" w:eastAsia="ja-JP"/>
              </w:rPr>
            </w:pPr>
            <w:r>
              <w:rPr>
                <w:lang w:val="en-GB" w:eastAsia="ja-JP"/>
              </w:rPr>
              <w:t>SRS – NCB-based</w:t>
            </w:r>
          </w:p>
        </w:tc>
        <w:tc>
          <w:tcPr>
            <w:tcW w:w="1281" w:type="dxa"/>
          </w:tcPr>
          <w:p w14:paraId="3483851F" w14:textId="27475F88" w:rsidR="00C06B65" w:rsidRDefault="00C06B65" w:rsidP="00C06B65">
            <w:pPr>
              <w:rPr>
                <w:lang w:val="en-GB" w:eastAsia="ja-JP"/>
              </w:rPr>
            </w:pPr>
            <w:r>
              <w:rPr>
                <w:lang w:val="en-GB" w:eastAsia="ja-JP"/>
              </w:rPr>
              <w:t>Proposed</w:t>
            </w:r>
          </w:p>
        </w:tc>
      </w:tr>
    </w:tbl>
    <w:p w14:paraId="210F7C1E" w14:textId="22EEA360" w:rsidR="000C4DEF" w:rsidRDefault="00C06B65" w:rsidP="00DF1968">
      <w:pPr>
        <w:rPr>
          <w:lang w:val="en-GB" w:eastAsia="ja-JP"/>
        </w:rPr>
      </w:pPr>
      <w:r>
        <w:rPr>
          <w:lang w:val="en-GB" w:eastAsia="ja-JP"/>
        </w:rPr>
        <w:t>We thus propose</w:t>
      </w:r>
    </w:p>
    <w:p w14:paraId="37FE6D59" w14:textId="4495DC33" w:rsidR="00C06B65" w:rsidRDefault="00C06B65" w:rsidP="00C06B65">
      <w:pPr>
        <w:pStyle w:val="Proposal"/>
        <w:rPr>
          <w:lang w:val="en-GB"/>
        </w:rPr>
      </w:pPr>
      <w:bookmarkStart w:id="7" w:name="_Toc61889354"/>
      <w:r>
        <w:rPr>
          <w:lang w:val="en-GB"/>
        </w:rPr>
        <w:t>Common TCI is applicable to all types CSI-RSs, and to SRS for CB- and NCB-based transmission.</w:t>
      </w:r>
      <w:bookmarkEnd w:id="7"/>
    </w:p>
    <w:p w14:paraId="442D5D41" w14:textId="015FF77D" w:rsidR="00C06B65" w:rsidRDefault="003C7779" w:rsidP="00C06B65">
      <w:pPr>
        <w:rPr>
          <w:lang w:val="en-GB"/>
        </w:rPr>
      </w:pPr>
      <w:r>
        <w:rPr>
          <w:lang w:val="en-GB"/>
        </w:rPr>
        <w:t>Note that</w:t>
      </w:r>
      <w:r w:rsidR="00C06B65">
        <w:rPr>
          <w:lang w:val="en-GB"/>
        </w:rPr>
        <w:t xml:space="preserve"> the rows in </w:t>
      </w:r>
      <w:r>
        <w:rPr>
          <w:lang w:val="en-GB"/>
        </w:rPr>
        <w:fldChar w:fldCharType="begin"/>
      </w:r>
      <w:r>
        <w:rPr>
          <w:lang w:val="en-GB"/>
        </w:rPr>
        <w:instrText xml:space="preserve"> REF _Ref61336392 \h </w:instrText>
      </w:r>
      <w:r>
        <w:rPr>
          <w:lang w:val="en-GB"/>
        </w:rPr>
      </w:r>
      <w:r>
        <w:rPr>
          <w:lang w:val="en-GB"/>
        </w:rPr>
        <w:fldChar w:fldCharType="separate"/>
      </w:r>
      <w:r w:rsidR="000B407C">
        <w:t xml:space="preserve">Table </w:t>
      </w:r>
      <w:r w:rsidR="000B407C">
        <w:rPr>
          <w:noProof/>
        </w:rPr>
        <w:t>1</w:t>
      </w:r>
      <w:r>
        <w:rPr>
          <w:lang w:val="en-GB"/>
        </w:rPr>
        <w:fldChar w:fldCharType="end"/>
      </w:r>
      <w:r>
        <w:rPr>
          <w:lang w:val="en-GB"/>
        </w:rPr>
        <w:t xml:space="preserve"> are copied from the Rel-15/16 common beam framework: as noted earlier, common beam operation is possible in Rel-15/16 for CSI-RS and SRS. </w:t>
      </w:r>
    </w:p>
    <w:p w14:paraId="0B499BD1" w14:textId="5D34906F" w:rsidR="00C06B65" w:rsidRDefault="00C06B65" w:rsidP="00C06B65">
      <w:pPr>
        <w:pStyle w:val="Heading4"/>
      </w:pPr>
      <w:r>
        <w:t>2.1.1.2</w:t>
      </w:r>
      <w:r>
        <w:tab/>
        <w:t>Possible source RSs for the unified TCI</w:t>
      </w:r>
    </w:p>
    <w:p w14:paraId="63C82E36" w14:textId="1268790D" w:rsidR="00C06B65" w:rsidRDefault="00C06B65" w:rsidP="00C06B65">
      <w:pPr>
        <w:rPr>
          <w:lang w:val="en-GB" w:eastAsia="ja-JP"/>
        </w:rPr>
      </w:pPr>
      <w:r>
        <w:rPr>
          <w:lang w:val="en-GB" w:eastAsia="ja-JP"/>
        </w:rPr>
        <w:t xml:space="preserve">In addition to defining what targets are possible for the unified TCI, it is also important to clarify what source RSs can be used in the unified TCI state to provide various </w:t>
      </w:r>
      <w:r w:rsidR="006B34B8">
        <w:rPr>
          <w:lang w:val="en-GB" w:eastAsia="ja-JP"/>
        </w:rPr>
        <w:t>properties for the target transmission. Surprisingly, there are very few agreements for this. In</w:t>
      </w:r>
      <w:r w:rsidR="00700B96">
        <w:rPr>
          <w:lang w:val="en-GB" w:eastAsia="ja-JP"/>
        </w:rPr>
        <w:t xml:space="preserve"> </w:t>
      </w:r>
      <w:r w:rsidR="00700B96">
        <w:rPr>
          <w:lang w:val="en-GB" w:eastAsia="ja-JP"/>
        </w:rPr>
        <w:fldChar w:fldCharType="begin"/>
      </w:r>
      <w:r w:rsidR="00700B96">
        <w:rPr>
          <w:lang w:val="en-GB" w:eastAsia="ja-JP"/>
        </w:rPr>
        <w:instrText xml:space="preserve"> REF _Ref61337575 \h </w:instrText>
      </w:r>
      <w:r w:rsidR="00700B96">
        <w:rPr>
          <w:lang w:val="en-GB" w:eastAsia="ja-JP"/>
        </w:rPr>
      </w:r>
      <w:r w:rsidR="00700B96">
        <w:rPr>
          <w:lang w:val="en-GB" w:eastAsia="ja-JP"/>
        </w:rPr>
        <w:fldChar w:fldCharType="separate"/>
      </w:r>
      <w:r w:rsidR="000B407C">
        <w:t xml:space="preserve">Table </w:t>
      </w:r>
      <w:r w:rsidR="000B407C">
        <w:rPr>
          <w:noProof/>
        </w:rPr>
        <w:t>2</w:t>
      </w:r>
      <w:r w:rsidR="00700B96">
        <w:rPr>
          <w:lang w:val="en-GB" w:eastAsia="ja-JP"/>
        </w:rPr>
        <w:fldChar w:fldCharType="end"/>
      </w:r>
      <w:r w:rsidR="00700B96">
        <w:rPr>
          <w:lang w:val="en-GB" w:eastAsia="ja-JP"/>
        </w:rPr>
        <w:t>, we summarize our understanding of the current agreements and our proposed additions.</w:t>
      </w:r>
      <w:r w:rsidR="006B34B8">
        <w:rPr>
          <w:lang w:val="en-GB" w:eastAsia="ja-JP"/>
        </w:rPr>
        <w:t xml:space="preserve"> </w:t>
      </w:r>
    </w:p>
    <w:p w14:paraId="08E25DB7" w14:textId="703434C0" w:rsidR="00700B96" w:rsidRDefault="00700B96" w:rsidP="00700B96">
      <w:pPr>
        <w:pStyle w:val="Caption"/>
        <w:keepNext/>
      </w:pPr>
      <w:bookmarkStart w:id="8" w:name="_Ref61337575"/>
      <w:r>
        <w:t xml:space="preserve">Table </w:t>
      </w:r>
      <w:r>
        <w:fldChar w:fldCharType="begin"/>
      </w:r>
      <w:r>
        <w:instrText xml:space="preserve"> SEQ Table \* ARABIC </w:instrText>
      </w:r>
      <w:r>
        <w:fldChar w:fldCharType="separate"/>
      </w:r>
      <w:r w:rsidR="000B407C">
        <w:rPr>
          <w:noProof/>
        </w:rPr>
        <w:t>2</w:t>
      </w:r>
      <w:r>
        <w:fldChar w:fldCharType="end"/>
      </w:r>
      <w:bookmarkEnd w:id="8"/>
      <w:r>
        <w:t>: Source RSs applicable to DL and UL TCI</w:t>
      </w:r>
    </w:p>
    <w:tbl>
      <w:tblPr>
        <w:tblStyle w:val="TableGrid"/>
        <w:tblW w:w="0" w:type="auto"/>
        <w:tblLook w:val="04A0" w:firstRow="1" w:lastRow="0" w:firstColumn="1" w:lastColumn="0" w:noHBand="0" w:noVBand="1"/>
      </w:tblPr>
      <w:tblGrid>
        <w:gridCol w:w="2263"/>
        <w:gridCol w:w="1134"/>
        <w:gridCol w:w="1134"/>
      </w:tblGrid>
      <w:tr w:rsidR="006B34B8" w14:paraId="20DE64FC" w14:textId="7796784A" w:rsidTr="006B34B8">
        <w:tc>
          <w:tcPr>
            <w:tcW w:w="2263" w:type="dxa"/>
          </w:tcPr>
          <w:p w14:paraId="6CC8492E" w14:textId="77777777" w:rsidR="006B34B8" w:rsidRDefault="006B34B8" w:rsidP="00C06B65">
            <w:pPr>
              <w:rPr>
                <w:lang w:val="en-GB" w:eastAsia="ja-JP"/>
              </w:rPr>
            </w:pPr>
          </w:p>
        </w:tc>
        <w:tc>
          <w:tcPr>
            <w:tcW w:w="1134" w:type="dxa"/>
          </w:tcPr>
          <w:p w14:paraId="5AAC58FA" w14:textId="0B131669" w:rsidR="006B34B8" w:rsidRDefault="006B34B8" w:rsidP="00C06B65">
            <w:pPr>
              <w:rPr>
                <w:lang w:val="en-GB" w:eastAsia="ja-JP"/>
              </w:rPr>
            </w:pPr>
            <w:r>
              <w:rPr>
                <w:lang w:val="en-GB" w:eastAsia="ja-JP"/>
              </w:rPr>
              <w:t>DL TCI</w:t>
            </w:r>
          </w:p>
        </w:tc>
        <w:tc>
          <w:tcPr>
            <w:tcW w:w="1134" w:type="dxa"/>
          </w:tcPr>
          <w:p w14:paraId="6291B84D" w14:textId="35B66E9D" w:rsidR="006B34B8" w:rsidRDefault="006B34B8" w:rsidP="00C06B65">
            <w:pPr>
              <w:rPr>
                <w:lang w:val="en-GB" w:eastAsia="ja-JP"/>
              </w:rPr>
            </w:pPr>
            <w:r>
              <w:rPr>
                <w:lang w:val="en-GB" w:eastAsia="ja-JP"/>
              </w:rPr>
              <w:t>UL TCI</w:t>
            </w:r>
          </w:p>
        </w:tc>
      </w:tr>
      <w:tr w:rsidR="006B34B8" w14:paraId="0ADD1745" w14:textId="5D2833C0" w:rsidTr="006B34B8">
        <w:tc>
          <w:tcPr>
            <w:tcW w:w="2263" w:type="dxa"/>
          </w:tcPr>
          <w:p w14:paraId="0A29190B" w14:textId="024AA4E2" w:rsidR="006B34B8" w:rsidRDefault="006B34B8" w:rsidP="00C06B65">
            <w:pPr>
              <w:rPr>
                <w:lang w:val="en-GB" w:eastAsia="ja-JP"/>
              </w:rPr>
            </w:pPr>
            <w:r>
              <w:rPr>
                <w:lang w:val="en-GB" w:eastAsia="ja-JP"/>
              </w:rPr>
              <w:t>SSB</w:t>
            </w:r>
          </w:p>
        </w:tc>
        <w:tc>
          <w:tcPr>
            <w:tcW w:w="1134" w:type="dxa"/>
          </w:tcPr>
          <w:p w14:paraId="65B2791C" w14:textId="408920D1" w:rsidR="006B34B8" w:rsidRDefault="00700B96" w:rsidP="00C06B65">
            <w:pPr>
              <w:rPr>
                <w:lang w:val="en-GB" w:eastAsia="ja-JP"/>
              </w:rPr>
            </w:pPr>
            <w:r>
              <w:rPr>
                <w:lang w:val="en-GB" w:eastAsia="ja-JP"/>
              </w:rPr>
              <w:t>p</w:t>
            </w:r>
            <w:r w:rsidR="006B34B8">
              <w:rPr>
                <w:lang w:val="en-GB" w:eastAsia="ja-JP"/>
              </w:rPr>
              <w:t>roposed</w:t>
            </w:r>
            <w:r>
              <w:rPr>
                <w:lang w:val="en-GB" w:eastAsia="ja-JP"/>
              </w:rPr>
              <w:t xml:space="preserve"> </w:t>
            </w:r>
          </w:p>
        </w:tc>
        <w:tc>
          <w:tcPr>
            <w:tcW w:w="1134" w:type="dxa"/>
          </w:tcPr>
          <w:p w14:paraId="6A563473" w14:textId="19C68F02" w:rsidR="006B34B8" w:rsidRDefault="006B34B8" w:rsidP="00C06B65">
            <w:pPr>
              <w:rPr>
                <w:lang w:val="en-GB" w:eastAsia="ja-JP"/>
              </w:rPr>
            </w:pPr>
            <w:r>
              <w:rPr>
                <w:lang w:val="en-GB" w:eastAsia="ja-JP"/>
              </w:rPr>
              <w:t>agreed</w:t>
            </w:r>
          </w:p>
        </w:tc>
      </w:tr>
      <w:tr w:rsidR="006B34B8" w14:paraId="51421B8C" w14:textId="7C9CEA0F" w:rsidTr="006B34B8">
        <w:tc>
          <w:tcPr>
            <w:tcW w:w="2263" w:type="dxa"/>
          </w:tcPr>
          <w:p w14:paraId="0ED4DC2F" w14:textId="31B07C30" w:rsidR="006B34B8" w:rsidRDefault="006B34B8" w:rsidP="00C06B65">
            <w:pPr>
              <w:rPr>
                <w:lang w:val="en-GB" w:eastAsia="ja-JP"/>
              </w:rPr>
            </w:pPr>
            <w:r>
              <w:rPr>
                <w:lang w:val="en-GB" w:eastAsia="ja-JP"/>
              </w:rPr>
              <w:t>CSI-RS for CSI</w:t>
            </w:r>
          </w:p>
        </w:tc>
        <w:tc>
          <w:tcPr>
            <w:tcW w:w="1134" w:type="dxa"/>
          </w:tcPr>
          <w:p w14:paraId="170FB93D" w14:textId="0E02B04B" w:rsidR="006B34B8" w:rsidRDefault="00700B96" w:rsidP="00C06B65">
            <w:pPr>
              <w:rPr>
                <w:lang w:val="en-GB" w:eastAsia="ja-JP"/>
              </w:rPr>
            </w:pPr>
            <w:r>
              <w:rPr>
                <w:lang w:val="en-GB" w:eastAsia="ja-JP"/>
              </w:rPr>
              <w:t>FFS</w:t>
            </w:r>
          </w:p>
        </w:tc>
        <w:tc>
          <w:tcPr>
            <w:tcW w:w="1134" w:type="dxa"/>
          </w:tcPr>
          <w:p w14:paraId="2ACC343E" w14:textId="5A660273" w:rsidR="006B34B8" w:rsidRDefault="00700B96" w:rsidP="00C06B65">
            <w:pPr>
              <w:rPr>
                <w:lang w:val="en-GB" w:eastAsia="ja-JP"/>
              </w:rPr>
            </w:pPr>
            <w:r>
              <w:rPr>
                <w:lang w:val="en-GB" w:eastAsia="ja-JP"/>
              </w:rPr>
              <w:t>FFS</w:t>
            </w:r>
          </w:p>
        </w:tc>
      </w:tr>
      <w:tr w:rsidR="006B34B8" w14:paraId="25022B23" w14:textId="61BDE7B7" w:rsidTr="006B34B8">
        <w:tc>
          <w:tcPr>
            <w:tcW w:w="2263" w:type="dxa"/>
          </w:tcPr>
          <w:p w14:paraId="7027A126" w14:textId="60042565" w:rsidR="006B34B8" w:rsidRDefault="006B34B8" w:rsidP="00C06B65">
            <w:pPr>
              <w:rPr>
                <w:lang w:val="en-GB" w:eastAsia="ja-JP"/>
              </w:rPr>
            </w:pPr>
            <w:r>
              <w:rPr>
                <w:lang w:val="en-GB" w:eastAsia="ja-JP"/>
              </w:rPr>
              <w:t>CSI-RS for BM (off)</w:t>
            </w:r>
          </w:p>
        </w:tc>
        <w:tc>
          <w:tcPr>
            <w:tcW w:w="1134" w:type="dxa"/>
          </w:tcPr>
          <w:p w14:paraId="3B5E2019" w14:textId="47649E0B" w:rsidR="006B34B8" w:rsidRDefault="006B34B8" w:rsidP="00C06B65">
            <w:pPr>
              <w:rPr>
                <w:lang w:val="en-GB" w:eastAsia="ja-JP"/>
              </w:rPr>
            </w:pPr>
            <w:r>
              <w:rPr>
                <w:lang w:val="en-GB" w:eastAsia="ja-JP"/>
              </w:rPr>
              <w:t>proposed</w:t>
            </w:r>
          </w:p>
        </w:tc>
        <w:tc>
          <w:tcPr>
            <w:tcW w:w="1134" w:type="dxa"/>
          </w:tcPr>
          <w:p w14:paraId="4D6F41BA" w14:textId="7F848424" w:rsidR="006B34B8" w:rsidRDefault="006B34B8" w:rsidP="00C06B65">
            <w:pPr>
              <w:rPr>
                <w:lang w:val="en-GB" w:eastAsia="ja-JP"/>
              </w:rPr>
            </w:pPr>
            <w:r>
              <w:rPr>
                <w:lang w:val="en-GB" w:eastAsia="ja-JP"/>
              </w:rPr>
              <w:t>agreed</w:t>
            </w:r>
          </w:p>
        </w:tc>
      </w:tr>
      <w:tr w:rsidR="006B34B8" w14:paraId="675B12E6" w14:textId="08BFDE9C" w:rsidTr="006B34B8">
        <w:tc>
          <w:tcPr>
            <w:tcW w:w="2263" w:type="dxa"/>
          </w:tcPr>
          <w:p w14:paraId="5F3D9F33" w14:textId="4220E625" w:rsidR="006B34B8" w:rsidRDefault="006B34B8" w:rsidP="00C06B65">
            <w:pPr>
              <w:rPr>
                <w:lang w:val="en-GB" w:eastAsia="ja-JP"/>
              </w:rPr>
            </w:pPr>
            <w:r>
              <w:rPr>
                <w:lang w:val="en-GB" w:eastAsia="ja-JP"/>
              </w:rPr>
              <w:t>CSI-RS for BM (on)</w:t>
            </w:r>
          </w:p>
        </w:tc>
        <w:tc>
          <w:tcPr>
            <w:tcW w:w="1134" w:type="dxa"/>
          </w:tcPr>
          <w:p w14:paraId="5A115E4A" w14:textId="7A0FFA23" w:rsidR="006B34B8" w:rsidRDefault="006B34B8" w:rsidP="00C06B65">
            <w:pPr>
              <w:rPr>
                <w:lang w:val="en-GB" w:eastAsia="ja-JP"/>
              </w:rPr>
            </w:pPr>
            <w:r>
              <w:rPr>
                <w:lang w:val="en-GB" w:eastAsia="ja-JP"/>
              </w:rPr>
              <w:t>proposed</w:t>
            </w:r>
          </w:p>
        </w:tc>
        <w:tc>
          <w:tcPr>
            <w:tcW w:w="1134" w:type="dxa"/>
          </w:tcPr>
          <w:p w14:paraId="43CBCE87" w14:textId="19CE5576" w:rsidR="006B34B8" w:rsidRDefault="006B34B8" w:rsidP="00C06B65">
            <w:pPr>
              <w:rPr>
                <w:lang w:val="en-GB" w:eastAsia="ja-JP"/>
              </w:rPr>
            </w:pPr>
            <w:r>
              <w:rPr>
                <w:lang w:val="en-GB" w:eastAsia="ja-JP"/>
              </w:rPr>
              <w:t>agreed</w:t>
            </w:r>
          </w:p>
        </w:tc>
      </w:tr>
      <w:tr w:rsidR="006B34B8" w14:paraId="4CA87E2E" w14:textId="08FCC593" w:rsidTr="006B34B8">
        <w:tc>
          <w:tcPr>
            <w:tcW w:w="2263" w:type="dxa"/>
          </w:tcPr>
          <w:p w14:paraId="036F2654" w14:textId="75D4E14E" w:rsidR="006B34B8" w:rsidRDefault="006B34B8" w:rsidP="00C06B65">
            <w:pPr>
              <w:rPr>
                <w:lang w:val="en-GB" w:eastAsia="ja-JP"/>
              </w:rPr>
            </w:pPr>
            <w:r>
              <w:rPr>
                <w:lang w:val="en-GB" w:eastAsia="ja-JP"/>
              </w:rPr>
              <w:t>TRS</w:t>
            </w:r>
          </w:p>
        </w:tc>
        <w:tc>
          <w:tcPr>
            <w:tcW w:w="1134" w:type="dxa"/>
          </w:tcPr>
          <w:p w14:paraId="5A1E04BC" w14:textId="51FC115E" w:rsidR="006B34B8" w:rsidRDefault="006B34B8" w:rsidP="00C06B65">
            <w:pPr>
              <w:rPr>
                <w:lang w:val="en-GB" w:eastAsia="ja-JP"/>
              </w:rPr>
            </w:pPr>
            <w:r>
              <w:rPr>
                <w:lang w:val="en-GB" w:eastAsia="ja-JP"/>
              </w:rPr>
              <w:t>proposed</w:t>
            </w:r>
          </w:p>
        </w:tc>
        <w:tc>
          <w:tcPr>
            <w:tcW w:w="1134" w:type="dxa"/>
          </w:tcPr>
          <w:p w14:paraId="643445F5" w14:textId="62CE7E36" w:rsidR="006B34B8" w:rsidRDefault="00700B96" w:rsidP="00C06B65">
            <w:pPr>
              <w:rPr>
                <w:lang w:val="en-GB" w:eastAsia="ja-JP"/>
              </w:rPr>
            </w:pPr>
            <w:r>
              <w:rPr>
                <w:lang w:val="en-GB" w:eastAsia="ja-JP"/>
              </w:rPr>
              <w:t>proposed</w:t>
            </w:r>
          </w:p>
        </w:tc>
      </w:tr>
      <w:tr w:rsidR="006B34B8" w14:paraId="42FC3ADF" w14:textId="3860BEFA" w:rsidTr="006B34B8">
        <w:tc>
          <w:tcPr>
            <w:tcW w:w="2263" w:type="dxa"/>
          </w:tcPr>
          <w:p w14:paraId="2BF0EF7A" w14:textId="4CC1A4DE" w:rsidR="006B34B8" w:rsidRDefault="006B34B8" w:rsidP="00C06B65">
            <w:pPr>
              <w:rPr>
                <w:lang w:val="en-GB" w:eastAsia="ja-JP"/>
              </w:rPr>
            </w:pPr>
            <w:r>
              <w:rPr>
                <w:lang w:val="en-GB" w:eastAsia="ja-JP"/>
              </w:rPr>
              <w:t>SRS for BM</w:t>
            </w:r>
          </w:p>
        </w:tc>
        <w:tc>
          <w:tcPr>
            <w:tcW w:w="1134" w:type="dxa"/>
          </w:tcPr>
          <w:p w14:paraId="551FE0B4" w14:textId="77777777" w:rsidR="006B34B8" w:rsidRDefault="006B34B8" w:rsidP="00C06B65">
            <w:pPr>
              <w:rPr>
                <w:lang w:val="en-GB" w:eastAsia="ja-JP"/>
              </w:rPr>
            </w:pPr>
          </w:p>
        </w:tc>
        <w:tc>
          <w:tcPr>
            <w:tcW w:w="1134" w:type="dxa"/>
          </w:tcPr>
          <w:p w14:paraId="728B523C" w14:textId="34296307" w:rsidR="006B34B8" w:rsidRDefault="006B34B8" w:rsidP="00C06B65">
            <w:pPr>
              <w:rPr>
                <w:lang w:val="en-GB" w:eastAsia="ja-JP"/>
              </w:rPr>
            </w:pPr>
            <w:r>
              <w:rPr>
                <w:lang w:val="en-GB" w:eastAsia="ja-JP"/>
              </w:rPr>
              <w:t>agreed</w:t>
            </w:r>
          </w:p>
        </w:tc>
      </w:tr>
      <w:tr w:rsidR="006B34B8" w14:paraId="7B29486E" w14:textId="055158D0" w:rsidTr="006B34B8">
        <w:tc>
          <w:tcPr>
            <w:tcW w:w="2263" w:type="dxa"/>
          </w:tcPr>
          <w:p w14:paraId="616B62EA" w14:textId="5BA8C7A2" w:rsidR="006B34B8" w:rsidRDefault="006B34B8" w:rsidP="00C06B65">
            <w:pPr>
              <w:rPr>
                <w:lang w:val="en-GB" w:eastAsia="ja-JP"/>
              </w:rPr>
            </w:pPr>
            <w:r>
              <w:rPr>
                <w:lang w:val="en-GB" w:eastAsia="ja-JP"/>
              </w:rPr>
              <w:t>SRS for CB</w:t>
            </w:r>
          </w:p>
        </w:tc>
        <w:tc>
          <w:tcPr>
            <w:tcW w:w="1134" w:type="dxa"/>
          </w:tcPr>
          <w:p w14:paraId="6FBE860B" w14:textId="77777777" w:rsidR="006B34B8" w:rsidRDefault="006B34B8" w:rsidP="00C06B65">
            <w:pPr>
              <w:rPr>
                <w:lang w:val="en-GB" w:eastAsia="ja-JP"/>
              </w:rPr>
            </w:pPr>
          </w:p>
        </w:tc>
        <w:tc>
          <w:tcPr>
            <w:tcW w:w="1134" w:type="dxa"/>
          </w:tcPr>
          <w:p w14:paraId="1CC8D4CB" w14:textId="393B7263" w:rsidR="006B34B8" w:rsidRDefault="00700B96" w:rsidP="00C06B65">
            <w:pPr>
              <w:rPr>
                <w:lang w:val="en-GB" w:eastAsia="ja-JP"/>
              </w:rPr>
            </w:pPr>
            <w:r>
              <w:rPr>
                <w:lang w:val="en-GB" w:eastAsia="ja-JP"/>
              </w:rPr>
              <w:t>FFS</w:t>
            </w:r>
          </w:p>
        </w:tc>
      </w:tr>
      <w:tr w:rsidR="006B34B8" w14:paraId="288F3C7E" w14:textId="2065D8B7" w:rsidTr="006B34B8">
        <w:tc>
          <w:tcPr>
            <w:tcW w:w="2263" w:type="dxa"/>
          </w:tcPr>
          <w:p w14:paraId="79CCAEA6" w14:textId="25F5BE97" w:rsidR="006B34B8" w:rsidRDefault="006B34B8" w:rsidP="00C06B65">
            <w:pPr>
              <w:rPr>
                <w:lang w:val="en-GB" w:eastAsia="ja-JP"/>
              </w:rPr>
            </w:pPr>
            <w:r>
              <w:rPr>
                <w:lang w:val="en-GB" w:eastAsia="ja-JP"/>
              </w:rPr>
              <w:t>SRS for NCB</w:t>
            </w:r>
          </w:p>
        </w:tc>
        <w:tc>
          <w:tcPr>
            <w:tcW w:w="1134" w:type="dxa"/>
          </w:tcPr>
          <w:p w14:paraId="3C551EE6" w14:textId="77777777" w:rsidR="006B34B8" w:rsidRDefault="006B34B8" w:rsidP="00C06B65">
            <w:pPr>
              <w:rPr>
                <w:lang w:val="en-GB" w:eastAsia="ja-JP"/>
              </w:rPr>
            </w:pPr>
          </w:p>
        </w:tc>
        <w:tc>
          <w:tcPr>
            <w:tcW w:w="1134" w:type="dxa"/>
          </w:tcPr>
          <w:p w14:paraId="7E37A6F0" w14:textId="08B6A637" w:rsidR="006B34B8" w:rsidRDefault="00700B96" w:rsidP="00C06B65">
            <w:pPr>
              <w:rPr>
                <w:lang w:val="en-GB" w:eastAsia="ja-JP"/>
              </w:rPr>
            </w:pPr>
            <w:r>
              <w:rPr>
                <w:lang w:val="en-GB" w:eastAsia="ja-JP"/>
              </w:rPr>
              <w:t>FFS</w:t>
            </w:r>
          </w:p>
        </w:tc>
      </w:tr>
      <w:tr w:rsidR="006B34B8" w14:paraId="48C4865C" w14:textId="0A8E03AF" w:rsidTr="006B34B8">
        <w:tc>
          <w:tcPr>
            <w:tcW w:w="2263" w:type="dxa"/>
          </w:tcPr>
          <w:p w14:paraId="1A106692" w14:textId="5948BD1F" w:rsidR="006B34B8" w:rsidRDefault="006B34B8" w:rsidP="00C06B65">
            <w:pPr>
              <w:rPr>
                <w:lang w:val="en-GB" w:eastAsia="ja-JP"/>
              </w:rPr>
            </w:pPr>
            <w:r>
              <w:rPr>
                <w:lang w:val="en-GB" w:eastAsia="ja-JP"/>
              </w:rPr>
              <w:t>SRS for AS</w:t>
            </w:r>
          </w:p>
        </w:tc>
        <w:tc>
          <w:tcPr>
            <w:tcW w:w="1134" w:type="dxa"/>
          </w:tcPr>
          <w:p w14:paraId="023BBCBE" w14:textId="77777777" w:rsidR="006B34B8" w:rsidRDefault="006B34B8" w:rsidP="00C06B65">
            <w:pPr>
              <w:rPr>
                <w:lang w:val="en-GB" w:eastAsia="ja-JP"/>
              </w:rPr>
            </w:pPr>
          </w:p>
        </w:tc>
        <w:tc>
          <w:tcPr>
            <w:tcW w:w="1134" w:type="dxa"/>
          </w:tcPr>
          <w:p w14:paraId="0530064D" w14:textId="74006755" w:rsidR="006B34B8" w:rsidRDefault="00700B96" w:rsidP="00C06B65">
            <w:pPr>
              <w:rPr>
                <w:lang w:val="en-GB" w:eastAsia="ja-JP"/>
              </w:rPr>
            </w:pPr>
            <w:r>
              <w:rPr>
                <w:lang w:val="en-GB" w:eastAsia="ja-JP"/>
              </w:rPr>
              <w:t>FFS</w:t>
            </w:r>
          </w:p>
        </w:tc>
      </w:tr>
    </w:tbl>
    <w:p w14:paraId="32BD97C5" w14:textId="6951C6E7" w:rsidR="006B34B8" w:rsidRDefault="00700B96" w:rsidP="00C06B65">
      <w:pPr>
        <w:rPr>
          <w:lang w:val="en-GB" w:eastAsia="ja-JP"/>
        </w:rPr>
      </w:pPr>
      <w:r>
        <w:rPr>
          <w:lang w:val="en-GB" w:eastAsia="ja-JP"/>
        </w:rPr>
        <w:t>Thus, we propose</w:t>
      </w:r>
    </w:p>
    <w:p w14:paraId="01486B4E" w14:textId="7D21B17E" w:rsidR="00700B96" w:rsidRDefault="00700B96" w:rsidP="00700B96">
      <w:pPr>
        <w:pStyle w:val="Proposal"/>
        <w:rPr>
          <w:lang w:val="en-GB"/>
        </w:rPr>
      </w:pPr>
      <w:bookmarkStart w:id="9" w:name="_Toc61889355"/>
      <w:r>
        <w:rPr>
          <w:lang w:val="en-GB"/>
        </w:rPr>
        <w:t>SSB, CSI-RS for BM and TRS can be used as source RS in a DL TCI state.</w:t>
      </w:r>
      <w:bookmarkEnd w:id="9"/>
    </w:p>
    <w:p w14:paraId="588DE97B" w14:textId="0A3B2B45" w:rsidR="00700B96" w:rsidRPr="00700B96" w:rsidRDefault="00700B96" w:rsidP="00700B96">
      <w:pPr>
        <w:pStyle w:val="Proposal"/>
        <w:rPr>
          <w:lang w:val="en-GB"/>
        </w:rPr>
      </w:pPr>
      <w:bookmarkStart w:id="10" w:name="_Toc61889356"/>
      <w:r>
        <w:rPr>
          <w:lang w:val="en-GB"/>
        </w:rPr>
        <w:t>TRS can be used a source RS in an UL TCI state.</w:t>
      </w:r>
      <w:bookmarkEnd w:id="10"/>
    </w:p>
    <w:p w14:paraId="17A90DD9" w14:textId="513F23CD" w:rsidR="00700B96" w:rsidRDefault="00700B96" w:rsidP="00700B96">
      <w:pPr>
        <w:rPr>
          <w:lang w:val="en-GB" w:eastAsia="ja-JP"/>
        </w:rPr>
      </w:pPr>
      <w:r>
        <w:rPr>
          <w:lang w:val="en-GB" w:eastAsia="ja-JP"/>
        </w:rPr>
        <w:t>Note that we do not propose to add SRS as a source RS in DL TCI state, since we fail to see the benefits of such an addition. It is well-known that the UE can derive an UL TX spatial filter from a DL RX spatial filter, and it is quite likely that the reversed direction is also possible. This would point to that it could be relevant to allow an SRS as an RS from which the UE could derive the QCL-TypeD properties to receive, e.g., PDCCH. The idea would be that some TCI states contain SRS resource Ids. The gNB triggers an SRS sweep, performs measurements on the received SRSs, determines a preferred SRS resource, and activates a TCI state which contains the preferred SRS resource Id. The UE would then use the DL RX spatial filter corresponding to the UL TX spatial filter it used for the transmission of the preferred SRS resource.</w:t>
      </w:r>
    </w:p>
    <w:p w14:paraId="4B8501F1" w14:textId="77777777" w:rsidR="00700B96" w:rsidRDefault="00700B96" w:rsidP="00700B96">
      <w:pPr>
        <w:rPr>
          <w:lang w:val="en-GB" w:eastAsia="ja-JP"/>
        </w:rPr>
      </w:pPr>
      <w:r>
        <w:rPr>
          <w:lang w:val="en-GB" w:eastAsia="ja-JP"/>
        </w:rPr>
        <w:t>The benefits of such a solution are questionable, for the following two reasons:</w:t>
      </w:r>
    </w:p>
    <w:p w14:paraId="48A858A9" w14:textId="77777777" w:rsidR="00700B96" w:rsidRPr="00DF730D" w:rsidRDefault="00700B96" w:rsidP="00700B96">
      <w:pPr>
        <w:pStyle w:val="ListParagraph"/>
        <w:numPr>
          <w:ilvl w:val="0"/>
          <w:numId w:val="18"/>
        </w:numPr>
        <w:rPr>
          <w:rFonts w:ascii="Arial" w:hAnsi="Arial" w:cs="Arial"/>
          <w:sz w:val="20"/>
          <w:szCs w:val="20"/>
          <w:lang w:val="en-GB" w:eastAsia="ja-JP"/>
        </w:rPr>
      </w:pPr>
      <w:r w:rsidRPr="00DF730D">
        <w:rPr>
          <w:rFonts w:ascii="Arial" w:hAnsi="Arial" w:cs="Arial"/>
          <w:sz w:val="20"/>
          <w:szCs w:val="20"/>
          <w:lang w:val="en-GB" w:eastAsia="ja-JP"/>
        </w:rPr>
        <w:t xml:space="preserve">The preferred DL TX filter (the UE RX beam) must be updated to cater for that the UE rotates. This change can be rather quick, meaning that frequent SRSs must be triggered, only to maintain DL connectivity.  </w:t>
      </w:r>
    </w:p>
    <w:p w14:paraId="7D5E2AA0" w14:textId="77777777" w:rsidR="00700B96" w:rsidRPr="00DF730D" w:rsidRDefault="00700B96" w:rsidP="00700B96">
      <w:pPr>
        <w:pStyle w:val="ListParagraph"/>
        <w:numPr>
          <w:ilvl w:val="0"/>
          <w:numId w:val="18"/>
        </w:numPr>
        <w:rPr>
          <w:rFonts w:ascii="Arial" w:hAnsi="Arial" w:cs="Arial"/>
          <w:sz w:val="20"/>
          <w:szCs w:val="20"/>
          <w:lang w:val="en-GB" w:eastAsia="ja-JP"/>
        </w:rPr>
      </w:pPr>
      <w:r w:rsidRPr="00DF730D">
        <w:rPr>
          <w:rFonts w:ascii="Arial" w:hAnsi="Arial" w:cs="Arial"/>
          <w:sz w:val="20"/>
          <w:szCs w:val="20"/>
          <w:lang w:val="en-GB" w:eastAsia="ja-JP"/>
        </w:rPr>
        <w:t xml:space="preserve">The TCI state must anyway contain a DL RS so that the UE can derive the QCL-TypeA or QCL-TypeC properties. That same RS could just as well have been </w:t>
      </w:r>
      <w:r>
        <w:rPr>
          <w:rFonts w:ascii="Arial" w:hAnsi="Arial" w:cs="Arial"/>
          <w:sz w:val="20"/>
          <w:szCs w:val="20"/>
          <w:lang w:val="en-GB" w:eastAsia="ja-JP"/>
        </w:rPr>
        <w:t>used also to derive the QCL-TypeD properties. In fact, the UE must use a certain RX beam to receive the RS used for QCL-TypeA or QCL-TypeC, and it would make the setup inconsistent if different RX beam were used to receive the QCL-TypeA RS and the target signal.</w:t>
      </w:r>
      <w:r>
        <w:rPr>
          <w:rFonts w:ascii="Arial" w:hAnsi="Arial" w:cs="Arial"/>
          <w:sz w:val="20"/>
          <w:szCs w:val="20"/>
          <w:lang w:val="en-GB" w:eastAsia="ja-JP"/>
        </w:rPr>
        <w:br/>
      </w:r>
    </w:p>
    <w:p w14:paraId="20963729" w14:textId="77777777" w:rsidR="00700B96" w:rsidRDefault="00700B96" w:rsidP="00700B96">
      <w:pPr>
        <w:pStyle w:val="Observation"/>
        <w:rPr>
          <w:lang w:val="en-GB"/>
        </w:rPr>
      </w:pPr>
      <w:bookmarkStart w:id="11" w:name="_Toc61889339"/>
      <w:r>
        <w:rPr>
          <w:lang w:val="en-GB"/>
        </w:rPr>
        <w:t>The target signal must be received with the same Rx beam as the RS used to derive QCL-TypeA or QCL-TypeC properties.</w:t>
      </w:r>
      <w:bookmarkEnd w:id="11"/>
    </w:p>
    <w:p w14:paraId="3DCEDD43" w14:textId="77777777" w:rsidR="00700B96" w:rsidRDefault="00700B96" w:rsidP="00700B96">
      <w:pPr>
        <w:rPr>
          <w:lang w:val="en-GB" w:eastAsia="ja-JP"/>
        </w:rPr>
      </w:pPr>
      <w:r>
        <w:rPr>
          <w:lang w:val="en-GB" w:eastAsia="ja-JP"/>
        </w:rPr>
        <w:t>Based on the above discussion, we propose</w:t>
      </w:r>
    </w:p>
    <w:p w14:paraId="440B241D" w14:textId="77777777" w:rsidR="00700B96" w:rsidRPr="00DF730D" w:rsidRDefault="00700B96" w:rsidP="00700B96">
      <w:pPr>
        <w:pStyle w:val="Proposal"/>
        <w:rPr>
          <w:lang w:val="en-GB"/>
        </w:rPr>
      </w:pPr>
      <w:bookmarkStart w:id="12" w:name="_Toc61889357"/>
      <w:r>
        <w:rPr>
          <w:lang w:val="en-GB"/>
        </w:rPr>
        <w:t>SRS for beam management cannot be configured as a source RS to represent a DL RX spatial filter.</w:t>
      </w:r>
      <w:bookmarkEnd w:id="12"/>
    </w:p>
    <w:p w14:paraId="11C6A11C" w14:textId="6FAA6E88" w:rsidR="0002098F" w:rsidRDefault="0002098F" w:rsidP="0002098F">
      <w:pPr>
        <w:pStyle w:val="Heading3"/>
      </w:pPr>
      <w:bookmarkStart w:id="13" w:name="_GoBack"/>
      <w:r>
        <w:t>2.1.</w:t>
      </w:r>
      <w:r w:rsidR="00282875">
        <w:t>2</w:t>
      </w:r>
      <w:r>
        <w:tab/>
      </w:r>
      <w:r w:rsidR="00507940">
        <w:t>S</w:t>
      </w:r>
      <w:r w:rsidR="0076064B">
        <w:t>eparate UL/DL beam indication</w:t>
      </w:r>
    </w:p>
    <w:bookmarkEnd w:id="13"/>
    <w:p w14:paraId="00188BE0" w14:textId="3C5D4CC9" w:rsidR="00C4448C" w:rsidRDefault="00C4448C" w:rsidP="00C4448C">
      <w:pPr>
        <w:rPr>
          <w:rFonts w:ascii="Times New Roman" w:hAnsi="Times New Roman" w:cs="Times New Roman"/>
        </w:rPr>
      </w:pPr>
      <w:r w:rsidRPr="00C4448C">
        <w:t>The</w:t>
      </w:r>
      <w:r>
        <w:t xml:space="preserve"> discussion in the previous subsection focused on the case where the UL and DL beam indications were identical.</w:t>
      </w:r>
      <w:r w:rsidR="0003435C">
        <w:t xml:space="preserve"> In addition, </w:t>
      </w:r>
      <w:r w:rsidR="00063F03">
        <w:t>it</w:t>
      </w:r>
      <w:r w:rsidR="0003435C">
        <w:t xml:space="preserve"> may be relevan</w:t>
      </w:r>
      <w:r w:rsidR="00063F03">
        <w:t>t</w:t>
      </w:r>
      <w:r w:rsidR="0003435C">
        <w:t xml:space="preserve"> to investigate the case where the beam indications in UL and DL</w:t>
      </w:r>
      <w:r w:rsidR="00063F03">
        <w:t xml:space="preserve"> are different</w:t>
      </w:r>
      <w:r w:rsidR="0003435C">
        <w:t xml:space="preserve">. </w:t>
      </w:r>
      <w:r w:rsidR="0033781A">
        <w:t>Possible use cases for this type of beam indication are discuss</w:t>
      </w:r>
      <w:r w:rsidR="00BD29D1">
        <w:t>ed</w:t>
      </w:r>
      <w:r w:rsidR="0033781A">
        <w:t xml:space="preserve"> in subsection </w:t>
      </w:r>
      <w:r w:rsidR="0033781A" w:rsidRPr="00141CC3">
        <w:t>2.4</w:t>
      </w:r>
      <w:r w:rsidR="0033781A">
        <w:t>.</w:t>
      </w:r>
      <w:r>
        <w:rPr>
          <w:rFonts w:ascii="Times New Roman" w:hAnsi="Times New Roman" w:cs="Times New Roman"/>
        </w:rPr>
        <w:t xml:space="preserve"> </w:t>
      </w:r>
    </w:p>
    <w:p w14:paraId="32172A90" w14:textId="43042E8D" w:rsidR="0076064B" w:rsidRPr="0033781A" w:rsidRDefault="0033781A" w:rsidP="0033781A">
      <w:r w:rsidRPr="0033781A">
        <w:t xml:space="preserve">In </w:t>
      </w:r>
      <w:r>
        <w:t>RAN1#10</w:t>
      </w:r>
      <w:r w:rsidR="002B13CB">
        <w:t>3</w:t>
      </w:r>
      <w:r>
        <w:t xml:space="preserve">e, the following </w:t>
      </w:r>
      <w:r w:rsidR="00E5375E">
        <w:t>agreements were made:</w:t>
      </w:r>
    </w:p>
    <w:p w14:paraId="53E47ED3" w14:textId="299A8A5F" w:rsidR="0076064B" w:rsidRPr="0076064B" w:rsidRDefault="0076064B" w:rsidP="0076064B">
      <w:pPr>
        <w:snapToGrid w:val="0"/>
        <w:spacing w:line="240" w:lineRule="auto"/>
        <w:contextualSpacing/>
        <w:rPr>
          <w:rFonts w:ascii="Times New Roman" w:hAnsi="Times New Roman" w:cs="Times New Roman"/>
        </w:rPr>
      </w:pPr>
      <w:r>
        <w:rPr>
          <w:rFonts w:ascii="Times New Roman" w:hAnsi="Times New Roman" w:cs="Times New Roman"/>
          <w:noProof/>
        </w:rPr>
        <mc:AlternateContent>
          <mc:Choice Requires="wps">
            <w:drawing>
              <wp:inline distT="0" distB="0" distL="0" distR="0" wp14:anchorId="28BB3428" wp14:editId="50D45694">
                <wp:extent cx="6315075" cy="685800"/>
                <wp:effectExtent l="0" t="0" r="28575" b="24130"/>
                <wp:docPr id="2" name="Text Box 2"/>
                <wp:cNvGraphicFramePr/>
                <a:graphic xmlns:a="http://schemas.openxmlformats.org/drawingml/2006/main">
                  <a:graphicData uri="http://schemas.microsoft.com/office/word/2010/wordprocessingShape">
                    <wps:wsp>
                      <wps:cNvSpPr txBox="1"/>
                      <wps:spPr>
                        <a:xfrm>
                          <a:off x="0" y="0"/>
                          <a:ext cx="6315075" cy="685800"/>
                        </a:xfrm>
                        <a:prstGeom prst="rect">
                          <a:avLst/>
                        </a:prstGeom>
                        <a:solidFill>
                          <a:schemeClr val="lt1"/>
                        </a:solidFill>
                        <a:ln w="6350">
                          <a:solidFill>
                            <a:prstClr val="black"/>
                          </a:solidFill>
                        </a:ln>
                      </wps:spPr>
                      <wps:txbx>
                        <w:txbxContent>
                          <w:p w14:paraId="30EBAC3B" w14:textId="77777777" w:rsidR="00A645FD" w:rsidRPr="00635BF9" w:rsidRDefault="00A645FD" w:rsidP="00AD32A2">
                            <w:pPr>
                              <w:snapToGrid w:val="0"/>
                              <w:spacing w:after="0"/>
                              <w:jc w:val="both"/>
                              <w:rPr>
                                <w:rFonts w:ascii="Times New Roman" w:eastAsia="Batang" w:hAnsi="Times New Roman" w:cs="Times New Roman"/>
                                <w:szCs w:val="20"/>
                                <w:lang w:eastAsia="ko-KR"/>
                              </w:rPr>
                            </w:pPr>
                            <w:r w:rsidRPr="00635BF9">
                              <w:rPr>
                                <w:rFonts w:ascii="Times New Roman" w:eastAsia="Batang" w:hAnsi="Times New Roman" w:cs="Times New Roman"/>
                                <w:b/>
                                <w:bCs/>
                                <w:szCs w:val="20"/>
                                <w:highlight w:val="green"/>
                                <w:lang w:val="en-GB"/>
                              </w:rPr>
                              <w:t>Agreement</w:t>
                            </w:r>
                          </w:p>
                          <w:p w14:paraId="5C3B1299" w14:textId="77777777" w:rsidR="00A645FD" w:rsidRPr="00635BF9" w:rsidRDefault="00A645FD" w:rsidP="00AD32A2">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On Rel-17 unified TCI framework:</w:t>
                            </w:r>
                          </w:p>
                          <w:p w14:paraId="61455624" w14:textId="77777777" w:rsidR="00A645FD" w:rsidRPr="00635BF9" w:rsidRDefault="00A645FD" w:rsidP="00AD32A2">
                            <w:pPr>
                              <w:numPr>
                                <w:ilvl w:val="0"/>
                                <w:numId w:val="3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A pool of joint DL/UL TCI state is used for joint DL/UL TCI state update (beam indication).</w:t>
                            </w:r>
                          </w:p>
                          <w:p w14:paraId="3C0685C2" w14:textId="77777777" w:rsidR="00A645FD" w:rsidRPr="00635BF9" w:rsidRDefault="00A645FD" w:rsidP="00AD32A2">
                            <w:pPr>
                              <w:numPr>
                                <w:ilvl w:val="0"/>
                                <w:numId w:val="3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The pool for separate DL and UL TCI state update (beam indication)</w:t>
                            </w:r>
                          </w:p>
                          <w:p w14:paraId="614645C8" w14:textId="77777777" w:rsidR="00A645FD" w:rsidRPr="00635BF9" w:rsidRDefault="00A645FD" w:rsidP="00AD32A2">
                            <w:pPr>
                              <w:numPr>
                                <w:ilvl w:val="0"/>
                                <w:numId w:val="3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Note: Here, TCI state pool refers to a pool configured via higher-layer (RRC) signaling</w:t>
                            </w:r>
                          </w:p>
                          <w:p w14:paraId="5FEFEF7B" w14:textId="77777777" w:rsidR="00A645FD" w:rsidRPr="00E45ADA" w:rsidRDefault="00A645FD" w:rsidP="00AD32A2">
                            <w:pPr>
                              <w:numPr>
                                <w:ilvl w:val="0"/>
                                <w:numId w:val="33"/>
                              </w:numPr>
                              <w:snapToGrid w:val="0"/>
                              <w:spacing w:after="0" w:line="240" w:lineRule="auto"/>
                              <w:contextualSpacing/>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FFS: Whether joint TCI may include UL specific parameter(s) such as UL PC/timing parameters, PL RS, panel-related indication,etc. and if it is included, it is used only for UL transmission of the DL and UL transmissions to which the joint TCI is applied </w:t>
                            </w:r>
                          </w:p>
                          <w:p w14:paraId="66E61D18" w14:textId="77777777" w:rsidR="00A645FD" w:rsidRDefault="00A645FD" w:rsidP="00AD32A2">
                            <w:pPr>
                              <w:snapToGrid w:val="0"/>
                              <w:spacing w:after="0"/>
                              <w:jc w:val="both"/>
                              <w:rPr>
                                <w:rFonts w:ascii="Times New Roman" w:eastAsia="Batang" w:hAnsi="Times New Roman" w:cs="Times New Roman"/>
                                <w:b/>
                                <w:bCs/>
                                <w:szCs w:val="20"/>
                                <w:highlight w:val="green"/>
                                <w:lang w:val="en-GB"/>
                              </w:rPr>
                            </w:pPr>
                          </w:p>
                          <w:p w14:paraId="081E0B4B" w14:textId="12C33C1F" w:rsidR="00A645FD" w:rsidRPr="00635BF9" w:rsidRDefault="00A645FD" w:rsidP="00AD32A2">
                            <w:pPr>
                              <w:snapToGrid w:val="0"/>
                              <w:spacing w:after="0"/>
                              <w:jc w:val="both"/>
                              <w:rPr>
                                <w:rFonts w:ascii="Times New Roman" w:eastAsia="Batang" w:hAnsi="Times New Roman" w:cs="Times New Roman"/>
                                <w:szCs w:val="20"/>
                                <w:lang w:eastAsia="ko-KR"/>
                              </w:rPr>
                            </w:pPr>
                            <w:r w:rsidRPr="00635BF9">
                              <w:rPr>
                                <w:rFonts w:ascii="Times New Roman" w:eastAsia="Batang" w:hAnsi="Times New Roman" w:cs="Times New Roman"/>
                                <w:b/>
                                <w:bCs/>
                                <w:szCs w:val="20"/>
                                <w:highlight w:val="green"/>
                                <w:lang w:val="en-GB"/>
                              </w:rPr>
                              <w:t>Agreement</w:t>
                            </w:r>
                          </w:p>
                          <w:p w14:paraId="03A3FAD1" w14:textId="77777777" w:rsidR="00A645FD" w:rsidRPr="00635BF9" w:rsidRDefault="00A645FD" w:rsidP="00AD32A2">
                            <w:pPr>
                              <w:snapToGrid w:val="0"/>
                              <w:spacing w:after="0"/>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On Rel-17 unified TCI framework, to accommodate the case of separate beam indication for UL and DL:</w:t>
                            </w:r>
                          </w:p>
                          <w:p w14:paraId="44D9CABD" w14:textId="77777777" w:rsidR="00A645FD" w:rsidRPr="00635BF9" w:rsidRDefault="00A645FD" w:rsidP="00AD32A2">
                            <w:pPr>
                              <w:numPr>
                                <w:ilvl w:val="0"/>
                                <w:numId w:val="13"/>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Utilize two separate TCI states, one for DL and one for UL. </w:t>
                            </w:r>
                          </w:p>
                          <w:p w14:paraId="724391F1" w14:textId="77777777" w:rsidR="00A645FD" w:rsidRPr="00635BF9" w:rsidRDefault="00A645FD" w:rsidP="00AD32A2">
                            <w:pPr>
                              <w:numPr>
                                <w:ilvl w:val="1"/>
                                <w:numId w:val="13"/>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FFS: Contents of separate UL TCI state</w:t>
                            </w:r>
                          </w:p>
                          <w:p w14:paraId="2542D03A" w14:textId="77777777" w:rsidR="00A645FD" w:rsidRPr="00635BF9" w:rsidRDefault="00A645FD" w:rsidP="00AD32A2">
                            <w:pPr>
                              <w:numPr>
                                <w:ilvl w:val="1"/>
                                <w:numId w:val="13"/>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Note: For FR1, UE does not expect UL TCI to provide a reference for determining common UL TX spatial filter(s), if UL TCI is supported for FR1 </w:t>
                            </w:r>
                          </w:p>
                          <w:p w14:paraId="0F3AF659" w14:textId="77777777" w:rsidR="00A645FD" w:rsidRPr="00635BF9" w:rsidRDefault="00A645FD" w:rsidP="00AD32A2">
                            <w:pPr>
                              <w:numPr>
                                <w:ilvl w:val="0"/>
                                <w:numId w:val="13"/>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For the separate DL TCI: </w:t>
                            </w:r>
                          </w:p>
                          <w:p w14:paraId="64096D6D" w14:textId="77777777" w:rsidR="00A645FD" w:rsidRPr="00635BF9" w:rsidRDefault="00A645FD" w:rsidP="00AD32A2">
                            <w:pPr>
                              <w:numPr>
                                <w:ilvl w:val="1"/>
                                <w:numId w:val="13"/>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The source reference signal(s) in M TCIs provide QCL information at least for UE-dedicated reception on PDSCH and for UE-dedicated reception on all or subset of CORESETs in a CC</w:t>
                            </w:r>
                          </w:p>
                          <w:p w14:paraId="58B7D82C" w14:textId="77777777" w:rsidR="00A645FD" w:rsidRPr="00635BF9" w:rsidRDefault="00A645FD" w:rsidP="00AD32A2">
                            <w:pPr>
                              <w:numPr>
                                <w:ilvl w:val="0"/>
                                <w:numId w:val="13"/>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For the separate UL TCI:</w:t>
                            </w:r>
                          </w:p>
                          <w:p w14:paraId="1FECE734" w14:textId="77777777" w:rsidR="00A645FD" w:rsidRPr="00635BF9" w:rsidRDefault="00A645FD" w:rsidP="00AD32A2">
                            <w:pPr>
                              <w:numPr>
                                <w:ilvl w:val="1"/>
                                <w:numId w:val="13"/>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The source reference signal(s) in N TCIs provide a reference for determining common UL TX spatial filter(s) at least for dynamic-grant/configured-grant based PUSCH, all or subset of dedicated PUCCH resources in a CC </w:t>
                            </w:r>
                          </w:p>
                          <w:p w14:paraId="5E6E79D9" w14:textId="77777777" w:rsidR="00A645FD" w:rsidRPr="00635BF9" w:rsidRDefault="00A645FD" w:rsidP="00AD32A2">
                            <w:pPr>
                              <w:numPr>
                                <w:ilvl w:val="1"/>
                                <w:numId w:val="13"/>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Optionally, this UL TX spatial filter can also apply to all SRS resources in resource set(s) configured for antenna switching/codebook-based/non-codebook-based UL transmissions</w:t>
                            </w:r>
                          </w:p>
                          <w:p w14:paraId="4F45705E" w14:textId="77777777" w:rsidR="00A645FD" w:rsidRPr="00635BF9" w:rsidRDefault="00A645FD" w:rsidP="00AD32A2">
                            <w:pPr>
                              <w:numPr>
                                <w:ilvl w:val="0"/>
                                <w:numId w:val="13"/>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FFS: Whether the UL TCI state is taken from a common/same or separate TCI state pool from DL TCI state</w:t>
                            </w:r>
                          </w:p>
                          <w:p w14:paraId="35F4ADA0" w14:textId="77777777" w:rsidR="00A645FD" w:rsidRPr="00635BF9" w:rsidRDefault="00A645FD" w:rsidP="00AD32A2">
                            <w:pPr>
                              <w:numPr>
                                <w:ilvl w:val="1"/>
                                <w:numId w:val="13"/>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Note that TCI state pool for joint DL and UL beam indication is still FFS</w:t>
                            </w:r>
                          </w:p>
                          <w:p w14:paraId="06B5A70C" w14:textId="77777777" w:rsidR="00A645FD" w:rsidRPr="00635BF9" w:rsidRDefault="00A645FD" w:rsidP="00AD32A2">
                            <w:pPr>
                              <w:numPr>
                                <w:ilvl w:val="0"/>
                                <w:numId w:val="13"/>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FFS: Whether Rel.17 supports TCI configured for single channel (e.g. PDSCH only, single CORESET) </w:t>
                            </w:r>
                          </w:p>
                          <w:p w14:paraId="01D63BA0" w14:textId="77777777" w:rsidR="00A645FD" w:rsidRPr="00635BF9" w:rsidRDefault="00A645FD" w:rsidP="00AD32A2">
                            <w:pPr>
                              <w:numPr>
                                <w:ilvl w:val="0"/>
                                <w:numId w:val="13"/>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Note: This does not preclude the type of UE supporting only 1 beam tracking loop, i.e. UE reports value of 1 in UE FG 2-62.</w:t>
                            </w:r>
                          </w:p>
                          <w:p w14:paraId="455279F8" w14:textId="77777777" w:rsidR="00A645FD" w:rsidRDefault="00A645FD" w:rsidP="00E5375E">
                            <w:pPr>
                              <w:snapToGrid w:val="0"/>
                              <w:spacing w:after="0"/>
                              <w:jc w:val="both"/>
                              <w:rPr>
                                <w:rFonts w:ascii="Times New Roman" w:eastAsia="Batang" w:hAnsi="Times New Roman" w:cs="Times New Roman"/>
                                <w:b/>
                                <w:szCs w:val="20"/>
                                <w:highlight w:val="green"/>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rto="http://schemas.microsoft.com/office/word/2006/arto">
            <w:pict>
              <v:shape w14:anchorId="28BB3428" id="Text Box 2" o:spid="_x0000_s1028" type="#_x0000_t202" style="width:497.25pt;height: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" fillcolor="white [3201]" strokeweight=".5pt">
                <v:textbox style="mso-fit-shape-to-text:t">
                  <w:txbxContent>
                    <w:p w14:paraId="30EBAC3B" w14:textId="77777777" w:rsidR="00A645FD" w:rsidRPr="00635BF9" w:rsidRDefault="00A645FD" w:rsidP="00AD32A2">
                      <w:pPr>
                        <w:snapToGrid w:val="0"/>
                        <w:spacing w:after="0"/>
                        <w:jc w:val="both"/>
                        <w:rPr>
                          <w:rFonts w:ascii="Times New Roman" w:eastAsia="Batang" w:hAnsi="Times New Roman" w:cs="Times New Roman"/>
                          <w:szCs w:val="20"/>
                          <w:lang w:eastAsia="ko-KR"/>
                        </w:rPr>
                      </w:pPr>
                      <w:r w:rsidRPr="00635BF9">
                        <w:rPr>
                          <w:rFonts w:ascii="Times New Roman" w:eastAsia="Batang" w:hAnsi="Times New Roman" w:cs="Times New Roman"/>
                          <w:b/>
                          <w:bCs/>
                          <w:szCs w:val="20"/>
                          <w:highlight w:val="green"/>
                          <w:lang w:val="en-GB"/>
                        </w:rPr>
                        <w:t>Agreement</w:t>
                      </w:r>
                    </w:p>
                    <w:p w14:paraId="5C3B1299" w14:textId="77777777" w:rsidR="00A645FD" w:rsidRPr="00635BF9" w:rsidRDefault="00A645FD" w:rsidP="00AD32A2">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On Rel-17 unified TCI framework:</w:t>
                      </w:r>
                    </w:p>
                    <w:p w14:paraId="61455624" w14:textId="77777777" w:rsidR="00A645FD" w:rsidRPr="00635BF9" w:rsidRDefault="00A645FD" w:rsidP="00AD32A2">
                      <w:pPr>
                        <w:numPr>
                          <w:ilvl w:val="0"/>
                          <w:numId w:val="3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A pool of joint DL/UL TCI state is used for joint DL/UL TCI state update (beam indication).</w:t>
                      </w:r>
                    </w:p>
                    <w:p w14:paraId="3C0685C2" w14:textId="77777777" w:rsidR="00A645FD" w:rsidRPr="00635BF9" w:rsidRDefault="00A645FD" w:rsidP="00AD32A2">
                      <w:pPr>
                        <w:numPr>
                          <w:ilvl w:val="0"/>
                          <w:numId w:val="3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The pool for separate DL and UL TCI state update (beam indication)</w:t>
                      </w:r>
                    </w:p>
                    <w:p w14:paraId="614645C8" w14:textId="77777777" w:rsidR="00A645FD" w:rsidRPr="00635BF9" w:rsidRDefault="00A645FD" w:rsidP="00AD32A2">
                      <w:pPr>
                        <w:numPr>
                          <w:ilvl w:val="0"/>
                          <w:numId w:val="3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Note: Here, TCI state pool refers to a pool configured via higher-layer (RRC) signaling</w:t>
                      </w:r>
                    </w:p>
                    <w:p w14:paraId="5FEFEF7B" w14:textId="77777777" w:rsidR="00A645FD" w:rsidRPr="00E45ADA" w:rsidRDefault="00A645FD" w:rsidP="00AD32A2">
                      <w:pPr>
                        <w:numPr>
                          <w:ilvl w:val="0"/>
                          <w:numId w:val="33"/>
                        </w:numPr>
                        <w:snapToGrid w:val="0"/>
                        <w:spacing w:after="0" w:line="240" w:lineRule="auto"/>
                        <w:contextualSpacing/>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FFS: Whether joint TCI may include UL specific parameter(s) such as UL PC/timing parameters, PL RS, panel-related indication,etc. and if it is included, it is used only for UL transmission of the DL and UL transmissions to which the joint TCI is applied </w:t>
                      </w:r>
                    </w:p>
                    <w:p w14:paraId="66E61D18" w14:textId="77777777" w:rsidR="00A645FD" w:rsidRDefault="00A645FD" w:rsidP="00AD32A2">
                      <w:pPr>
                        <w:snapToGrid w:val="0"/>
                        <w:spacing w:after="0"/>
                        <w:jc w:val="both"/>
                        <w:rPr>
                          <w:rFonts w:ascii="Times New Roman" w:eastAsia="Batang" w:hAnsi="Times New Roman" w:cs="Times New Roman"/>
                          <w:b/>
                          <w:bCs/>
                          <w:szCs w:val="20"/>
                          <w:highlight w:val="green"/>
                          <w:lang w:val="en-GB"/>
                        </w:rPr>
                      </w:pPr>
                    </w:p>
                    <w:p w14:paraId="081E0B4B" w14:textId="12C33C1F" w:rsidR="00A645FD" w:rsidRPr="00635BF9" w:rsidRDefault="00A645FD" w:rsidP="00AD32A2">
                      <w:pPr>
                        <w:snapToGrid w:val="0"/>
                        <w:spacing w:after="0"/>
                        <w:jc w:val="both"/>
                        <w:rPr>
                          <w:rFonts w:ascii="Times New Roman" w:eastAsia="Batang" w:hAnsi="Times New Roman" w:cs="Times New Roman"/>
                          <w:szCs w:val="20"/>
                          <w:lang w:eastAsia="ko-KR"/>
                        </w:rPr>
                      </w:pPr>
                      <w:r w:rsidRPr="00635BF9">
                        <w:rPr>
                          <w:rFonts w:ascii="Times New Roman" w:eastAsia="Batang" w:hAnsi="Times New Roman" w:cs="Times New Roman"/>
                          <w:b/>
                          <w:bCs/>
                          <w:szCs w:val="20"/>
                          <w:highlight w:val="green"/>
                          <w:lang w:val="en-GB"/>
                        </w:rPr>
                        <w:t>Agreement</w:t>
                      </w:r>
                    </w:p>
                    <w:p w14:paraId="03A3FAD1" w14:textId="77777777" w:rsidR="00A645FD" w:rsidRPr="00635BF9" w:rsidRDefault="00A645FD" w:rsidP="00AD32A2">
                      <w:pPr>
                        <w:snapToGrid w:val="0"/>
                        <w:spacing w:after="0"/>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On Rel-17 unified TCI framework, to accommodate the case of separate beam indication for UL and DL:</w:t>
                      </w:r>
                    </w:p>
                    <w:p w14:paraId="44D9CABD" w14:textId="77777777" w:rsidR="00A645FD" w:rsidRPr="00635BF9" w:rsidRDefault="00A645FD" w:rsidP="00AD32A2">
                      <w:pPr>
                        <w:numPr>
                          <w:ilvl w:val="0"/>
                          <w:numId w:val="13"/>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Utilize two separate TCI states, one for DL and one for UL. </w:t>
                      </w:r>
                    </w:p>
                    <w:p w14:paraId="724391F1" w14:textId="77777777" w:rsidR="00A645FD" w:rsidRPr="00635BF9" w:rsidRDefault="00A645FD" w:rsidP="00AD32A2">
                      <w:pPr>
                        <w:numPr>
                          <w:ilvl w:val="1"/>
                          <w:numId w:val="13"/>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FFS: Contents of separate UL TCI state</w:t>
                      </w:r>
                    </w:p>
                    <w:p w14:paraId="2542D03A" w14:textId="77777777" w:rsidR="00A645FD" w:rsidRPr="00635BF9" w:rsidRDefault="00A645FD" w:rsidP="00AD32A2">
                      <w:pPr>
                        <w:numPr>
                          <w:ilvl w:val="1"/>
                          <w:numId w:val="13"/>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Note: For FR1, UE does not expect UL TCI to provide a reference for determining common UL TX spatial filter(s), if UL TCI is supported for FR1 </w:t>
                      </w:r>
                    </w:p>
                    <w:p w14:paraId="0F3AF659" w14:textId="77777777" w:rsidR="00A645FD" w:rsidRPr="00635BF9" w:rsidRDefault="00A645FD" w:rsidP="00AD32A2">
                      <w:pPr>
                        <w:numPr>
                          <w:ilvl w:val="0"/>
                          <w:numId w:val="13"/>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For the separate DL TCI: </w:t>
                      </w:r>
                    </w:p>
                    <w:p w14:paraId="64096D6D" w14:textId="77777777" w:rsidR="00A645FD" w:rsidRPr="00635BF9" w:rsidRDefault="00A645FD" w:rsidP="00AD32A2">
                      <w:pPr>
                        <w:numPr>
                          <w:ilvl w:val="1"/>
                          <w:numId w:val="13"/>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The source reference signal(s) in M TCIs provide QCL information at least for UE-dedicated reception on PDSCH and for UE-dedicated reception on all or subset of CORESETs in a CC</w:t>
                      </w:r>
                    </w:p>
                    <w:p w14:paraId="58B7D82C" w14:textId="77777777" w:rsidR="00A645FD" w:rsidRPr="00635BF9" w:rsidRDefault="00A645FD" w:rsidP="00AD32A2">
                      <w:pPr>
                        <w:numPr>
                          <w:ilvl w:val="0"/>
                          <w:numId w:val="13"/>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For the separate UL TCI:</w:t>
                      </w:r>
                    </w:p>
                    <w:p w14:paraId="1FECE734" w14:textId="77777777" w:rsidR="00A645FD" w:rsidRPr="00635BF9" w:rsidRDefault="00A645FD" w:rsidP="00AD32A2">
                      <w:pPr>
                        <w:numPr>
                          <w:ilvl w:val="1"/>
                          <w:numId w:val="13"/>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The source reference signal(s) in N TCIs provide a reference for determining common UL TX spatial filter(s) at least for dynamic-grant/configured-grant based PUSCH, all or subset of dedicated PUCCH resources in a CC </w:t>
                      </w:r>
                    </w:p>
                    <w:p w14:paraId="5E6E79D9" w14:textId="77777777" w:rsidR="00A645FD" w:rsidRPr="00635BF9" w:rsidRDefault="00A645FD" w:rsidP="00AD32A2">
                      <w:pPr>
                        <w:numPr>
                          <w:ilvl w:val="1"/>
                          <w:numId w:val="13"/>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Optionally, this UL TX spatial filter can also apply to all SRS resources in resource set(s) configured for antenna switching/codebook-based/non-codebook-based UL transmissions</w:t>
                      </w:r>
                    </w:p>
                    <w:p w14:paraId="4F45705E" w14:textId="77777777" w:rsidR="00A645FD" w:rsidRPr="00635BF9" w:rsidRDefault="00A645FD" w:rsidP="00AD32A2">
                      <w:pPr>
                        <w:numPr>
                          <w:ilvl w:val="0"/>
                          <w:numId w:val="13"/>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FFS: Whether the UL TCI state is taken from a common/same or separate TCI state pool from DL TCI state</w:t>
                      </w:r>
                    </w:p>
                    <w:p w14:paraId="35F4ADA0" w14:textId="77777777" w:rsidR="00A645FD" w:rsidRPr="00635BF9" w:rsidRDefault="00A645FD" w:rsidP="00AD32A2">
                      <w:pPr>
                        <w:numPr>
                          <w:ilvl w:val="1"/>
                          <w:numId w:val="13"/>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Note that TCI state pool for joint DL and UL beam indication is still FFS</w:t>
                      </w:r>
                    </w:p>
                    <w:p w14:paraId="06B5A70C" w14:textId="77777777" w:rsidR="00A645FD" w:rsidRPr="00635BF9" w:rsidRDefault="00A645FD" w:rsidP="00AD32A2">
                      <w:pPr>
                        <w:numPr>
                          <w:ilvl w:val="0"/>
                          <w:numId w:val="13"/>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FFS: Whether Rel.17 supports TCI configured for single channel (e.g. PDSCH only, single CORESET) </w:t>
                      </w:r>
                    </w:p>
                    <w:p w14:paraId="01D63BA0" w14:textId="77777777" w:rsidR="00A645FD" w:rsidRPr="00635BF9" w:rsidRDefault="00A645FD" w:rsidP="00AD32A2">
                      <w:pPr>
                        <w:numPr>
                          <w:ilvl w:val="0"/>
                          <w:numId w:val="13"/>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Note: This does not preclude the type of UE supporting only 1 beam tracking loop, i.e. UE reports value of 1 in UE FG 2-62.</w:t>
                      </w:r>
                    </w:p>
                    <w:p w14:paraId="455279F8" w14:textId="77777777" w:rsidR="00A645FD" w:rsidRDefault="00A645FD" w:rsidP="00E5375E">
                      <w:pPr>
                        <w:snapToGrid w:val="0"/>
                        <w:spacing w:after="0"/>
                        <w:jc w:val="both"/>
                        <w:rPr>
                          <w:rFonts w:ascii="Times New Roman" w:eastAsia="Batang" w:hAnsi="Times New Roman" w:cs="Times New Roman"/>
                          <w:b/>
                          <w:szCs w:val="20"/>
                          <w:highlight w:val="green"/>
                          <w:lang w:val="en-GB"/>
                        </w:rPr>
                      </w:pPr>
                    </w:p>
                  </w:txbxContent>
                </v:textbox>
                <w10:anchorlock/>
              </v:shape>
            </w:pict>
          </mc:Fallback>
        </mc:AlternateContent>
      </w:r>
    </w:p>
    <w:p w14:paraId="4C650505" w14:textId="77777777" w:rsidR="00AD0321" w:rsidRDefault="00AD0321" w:rsidP="003D6BC1">
      <w:pPr>
        <w:rPr>
          <w:lang w:val="en-GB" w:eastAsia="ja-JP"/>
        </w:rPr>
      </w:pPr>
    </w:p>
    <w:p w14:paraId="5C6961ED" w14:textId="44EFA272" w:rsidR="0070191F" w:rsidRDefault="0070191F" w:rsidP="003D6BC1">
      <w:pPr>
        <w:rPr>
          <w:lang w:val="en-GB" w:eastAsia="ja-JP"/>
        </w:rPr>
      </w:pPr>
      <w:r>
        <w:rPr>
          <w:lang w:val="en-GB" w:eastAsia="ja-JP"/>
        </w:rPr>
        <w:t xml:space="preserve">There agreement </w:t>
      </w:r>
      <w:r w:rsidR="00063F03">
        <w:rPr>
          <w:lang w:val="en-GB" w:eastAsia="ja-JP"/>
        </w:rPr>
        <w:t>states</w:t>
      </w:r>
      <w:r>
        <w:rPr>
          <w:lang w:val="en-GB" w:eastAsia="ja-JP"/>
        </w:rPr>
        <w:t xml:space="preserve"> that we will utilize two separate TCI states when separate beam indications for UL and DL are utilized. The remaining issues are the contents of the separate UL TCI state, and if the UL TCI state is taken from the same pool as the DL TCI state.</w:t>
      </w:r>
    </w:p>
    <w:p w14:paraId="5D27947C" w14:textId="4572B3B1" w:rsidR="00A64B41" w:rsidRPr="00B25BEA" w:rsidRDefault="00063F03" w:rsidP="00A64B41">
      <w:r>
        <w:rPr>
          <w:lang w:val="en-GB" w:eastAsia="ja-JP"/>
        </w:rPr>
        <w:t xml:space="preserve">We first discuss the contents of the separate UL TCI state. </w:t>
      </w:r>
      <w:r w:rsidR="0070191F">
        <w:rPr>
          <w:lang w:val="en-GB" w:eastAsia="ja-JP"/>
        </w:rPr>
        <w:t xml:space="preserve">As was noted in subsection 2.1.1.2, </w:t>
      </w:r>
      <w:r w:rsidR="00A64B41">
        <w:rPr>
          <w:lang w:val="en-GB" w:eastAsia="ja-JP"/>
        </w:rPr>
        <w:t xml:space="preserve">it must be possible to configure SRS for beam management in a TCI state used for UL beam indication. A </w:t>
      </w:r>
      <w:r w:rsidR="00A64B41" w:rsidRPr="00B25BEA">
        <w:t xml:space="preserve">TCI </w:t>
      </w:r>
      <w:r w:rsidR="00A64B41">
        <w:t xml:space="preserve">used for UL beam indication </w:t>
      </w:r>
      <w:r w:rsidR="00A64B41" w:rsidRPr="00B25BEA">
        <w:t>would need to contain a (pointer to a) reference signal, an SSB, a CSI-RS or an SRS. Since CSI-RS and SRS are configured per BWP, a reference to the correct BWP must also be included. Since RSs in other serving cells can be used as spatial references, there must be a reference to the correct serving cell as well.</w:t>
      </w:r>
    </w:p>
    <w:p w14:paraId="52783E46" w14:textId="39D3BB17" w:rsidR="00A64B41" w:rsidRPr="00B25BEA" w:rsidRDefault="00A64B41" w:rsidP="00A64B41">
      <w:pPr>
        <w:pStyle w:val="BodyText"/>
      </w:pPr>
      <w:r w:rsidRPr="00B25BEA">
        <w:t>In case the UL TCI is a DL RS, it makes a lot of sense that the UE uses that same RS as pathloss reference RS for UL power control. But if the UL TCI is an SRS, a separate DL RS needs to be provided.</w:t>
      </w:r>
      <w:r>
        <w:t xml:space="preserve"> </w:t>
      </w:r>
      <w:r w:rsidR="00063F03">
        <w:t>Summing up, t</w:t>
      </w:r>
      <w:r>
        <w:t xml:space="preserve">he necessary </w:t>
      </w:r>
      <w:r w:rsidR="00063F03">
        <w:t>contents of an UL TCI state</w:t>
      </w:r>
      <w:r>
        <w:t xml:space="preserve"> are listed in </w:t>
      </w:r>
      <w:r>
        <w:fldChar w:fldCharType="begin"/>
      </w:r>
      <w:r>
        <w:instrText xml:space="preserve"> REF _Ref47361901 \h </w:instrText>
      </w:r>
      <w:r>
        <w:fldChar w:fldCharType="separate"/>
      </w:r>
      <w:r w:rsidR="000B407C" w:rsidRPr="00B25BEA">
        <w:t xml:space="preserve">Table </w:t>
      </w:r>
      <w:r w:rsidR="000B407C">
        <w:rPr>
          <w:noProof/>
        </w:rPr>
        <w:t>3</w:t>
      </w:r>
      <w:r>
        <w:fldChar w:fldCharType="end"/>
      </w:r>
      <w:r>
        <w:t xml:space="preserve">. </w:t>
      </w:r>
    </w:p>
    <w:p w14:paraId="503F3A91" w14:textId="6C1D6A38" w:rsidR="00A64B41" w:rsidRPr="00B25BEA" w:rsidRDefault="00A64B41" w:rsidP="00A64B41">
      <w:pPr>
        <w:pStyle w:val="Caption"/>
      </w:pPr>
      <w:bookmarkStart w:id="14" w:name="_Ref47361901"/>
      <w:r w:rsidRPr="00B25BEA">
        <w:t xml:space="preserve">Table </w:t>
      </w:r>
      <w:r>
        <w:fldChar w:fldCharType="begin"/>
      </w:r>
      <w:r w:rsidRPr="00B25BEA">
        <w:instrText>SEQ Table \* ARABIC</w:instrText>
      </w:r>
      <w:r>
        <w:fldChar w:fldCharType="separate"/>
      </w:r>
      <w:r w:rsidR="000B407C">
        <w:rPr>
          <w:noProof/>
        </w:rPr>
        <w:t>3</w:t>
      </w:r>
      <w:r>
        <w:fldChar w:fldCharType="end"/>
      </w:r>
      <w:bookmarkEnd w:id="14"/>
      <w:r w:rsidRPr="00B25BEA">
        <w:t>: The contents of an UL TCI.</w:t>
      </w:r>
    </w:p>
    <w:tbl>
      <w:tblPr>
        <w:tblStyle w:val="TableGrid"/>
        <w:tblW w:w="0" w:type="auto"/>
        <w:tblLook w:val="04A0" w:firstRow="1" w:lastRow="0" w:firstColumn="1" w:lastColumn="0" w:noHBand="0" w:noVBand="1"/>
      </w:tblPr>
      <w:tblGrid>
        <w:gridCol w:w="1413"/>
        <w:gridCol w:w="4235"/>
        <w:gridCol w:w="3981"/>
      </w:tblGrid>
      <w:tr w:rsidR="00A64B41" w14:paraId="601A4F38" w14:textId="77777777" w:rsidTr="00A64B41">
        <w:trPr>
          <w:trHeight w:val="217"/>
        </w:trPr>
        <w:tc>
          <w:tcPr>
            <w:tcW w:w="1413" w:type="dxa"/>
          </w:tcPr>
          <w:p w14:paraId="24B6A7A4" w14:textId="77777777" w:rsidR="00A64B41" w:rsidRDefault="00A64B41" w:rsidP="00A64B41">
            <w:r>
              <w:t>Field</w:t>
            </w:r>
          </w:p>
        </w:tc>
        <w:tc>
          <w:tcPr>
            <w:tcW w:w="4235" w:type="dxa"/>
          </w:tcPr>
          <w:p w14:paraId="0E4A05B0" w14:textId="77777777" w:rsidR="00A64B41" w:rsidRDefault="00A64B41" w:rsidP="00A64B41">
            <w:r>
              <w:t>Possible values</w:t>
            </w:r>
          </w:p>
        </w:tc>
        <w:tc>
          <w:tcPr>
            <w:tcW w:w="3981" w:type="dxa"/>
          </w:tcPr>
          <w:p w14:paraId="48C8F2E0" w14:textId="77777777" w:rsidR="00A64B41" w:rsidRDefault="00A64B41" w:rsidP="00A64B41"/>
        </w:tc>
      </w:tr>
      <w:tr w:rsidR="00A64B41" w:rsidRPr="006073F1" w14:paraId="063C9408" w14:textId="77777777" w:rsidTr="00A64B41">
        <w:tc>
          <w:tcPr>
            <w:tcW w:w="1413" w:type="dxa"/>
          </w:tcPr>
          <w:p w14:paraId="6C5DFAFF" w14:textId="77777777" w:rsidR="00A64B41" w:rsidRDefault="00A64B41" w:rsidP="00A64B41">
            <w:r>
              <w:t>RS</w:t>
            </w:r>
          </w:p>
        </w:tc>
        <w:tc>
          <w:tcPr>
            <w:tcW w:w="4235" w:type="dxa"/>
          </w:tcPr>
          <w:p w14:paraId="6C72F8CD" w14:textId="77777777" w:rsidR="00A64B41" w:rsidRDefault="00A64B41" w:rsidP="00A64B41">
            <w:r>
              <w:t>SSB, DL BWP+CSI-RS, UL BWP+SRS</w:t>
            </w:r>
          </w:p>
        </w:tc>
        <w:tc>
          <w:tcPr>
            <w:tcW w:w="3981" w:type="dxa"/>
          </w:tcPr>
          <w:p w14:paraId="11BFCD88" w14:textId="77777777" w:rsidR="00A64B41" w:rsidRDefault="00A64B41" w:rsidP="00A64B41">
            <w:r>
              <w:t>Mandatory</w:t>
            </w:r>
          </w:p>
        </w:tc>
      </w:tr>
      <w:tr w:rsidR="00A64B41" w14:paraId="119F0E77" w14:textId="77777777" w:rsidTr="00A64B41">
        <w:tc>
          <w:tcPr>
            <w:tcW w:w="1413" w:type="dxa"/>
          </w:tcPr>
          <w:p w14:paraId="5D079E2B" w14:textId="77777777" w:rsidR="00A64B41" w:rsidRDefault="00A64B41" w:rsidP="00A64B41">
            <w:r>
              <w:t>Serving cell</w:t>
            </w:r>
          </w:p>
        </w:tc>
        <w:tc>
          <w:tcPr>
            <w:tcW w:w="4235" w:type="dxa"/>
          </w:tcPr>
          <w:p w14:paraId="084BB85B" w14:textId="77777777" w:rsidR="00A64B41" w:rsidRDefault="00A64B41" w:rsidP="00A64B41">
            <w:r>
              <w:t>0-31</w:t>
            </w:r>
          </w:p>
        </w:tc>
        <w:tc>
          <w:tcPr>
            <w:tcW w:w="3981" w:type="dxa"/>
          </w:tcPr>
          <w:p w14:paraId="5BEC41A4" w14:textId="77777777" w:rsidR="00A64B41" w:rsidRDefault="00A64B41" w:rsidP="00A64B41">
            <w:r>
              <w:t>Optional</w:t>
            </w:r>
          </w:p>
        </w:tc>
      </w:tr>
      <w:tr w:rsidR="00A64B41" w:rsidRPr="006073F1" w14:paraId="712A4AFA" w14:textId="77777777" w:rsidTr="00A64B41">
        <w:tc>
          <w:tcPr>
            <w:tcW w:w="1413" w:type="dxa"/>
          </w:tcPr>
          <w:p w14:paraId="1DFAB590" w14:textId="0C105147" w:rsidR="00A64B41" w:rsidRDefault="00A64B41" w:rsidP="00A64B41">
            <w:r>
              <w:t>PL RS</w:t>
            </w:r>
          </w:p>
        </w:tc>
        <w:tc>
          <w:tcPr>
            <w:tcW w:w="4235" w:type="dxa"/>
          </w:tcPr>
          <w:p w14:paraId="36140FFB" w14:textId="77777777" w:rsidR="00A64B41" w:rsidRPr="00B25BEA" w:rsidRDefault="00A64B41" w:rsidP="00A64B41">
            <w:r w:rsidRPr="00B25BEA">
              <w:t>SSB, DL BWP+CSI-RS</w:t>
            </w:r>
          </w:p>
        </w:tc>
        <w:tc>
          <w:tcPr>
            <w:tcW w:w="3981" w:type="dxa"/>
          </w:tcPr>
          <w:p w14:paraId="3AB5F2A4" w14:textId="77777777" w:rsidR="00A64B41" w:rsidRDefault="00A64B41" w:rsidP="00A64B41">
            <w:r>
              <w:t>Optional</w:t>
            </w:r>
          </w:p>
        </w:tc>
      </w:tr>
    </w:tbl>
    <w:p w14:paraId="1155F2D5" w14:textId="0A42FCAD" w:rsidR="009D4790" w:rsidRDefault="009D4790" w:rsidP="003D6BC1">
      <w:pPr>
        <w:rPr>
          <w:lang w:eastAsia="ja-JP"/>
        </w:rPr>
      </w:pPr>
    </w:p>
    <w:p w14:paraId="46E43C82" w14:textId="33CF622A" w:rsidR="00A64B41" w:rsidRPr="00A64B41" w:rsidRDefault="00A64B41" w:rsidP="003D6BC1">
      <w:pPr>
        <w:rPr>
          <w:lang w:eastAsia="ja-JP"/>
        </w:rPr>
      </w:pPr>
      <w:r>
        <w:rPr>
          <w:lang w:eastAsia="ja-JP"/>
        </w:rPr>
        <w:t xml:space="preserve">If the contents of the UL TCI are compared to the contents of a DL TCI, we realize that the UL TCI is smaller, since only one RS is required. However, an UL TCI requires additional information that is not part of a DL TCI state: the addition of SRS and an UL BWP, and also the </w:t>
      </w:r>
      <w:r w:rsidR="00063F03">
        <w:rPr>
          <w:lang w:eastAsia="ja-JP"/>
        </w:rPr>
        <w:t>optional inclusion</w:t>
      </w:r>
      <w:r>
        <w:rPr>
          <w:lang w:eastAsia="ja-JP"/>
        </w:rPr>
        <w:t xml:space="preserve"> of a pathloss reference RS which may require an extra specification of a DL BWP.</w:t>
      </w:r>
    </w:p>
    <w:p w14:paraId="755AD46A" w14:textId="019ED3F9" w:rsidR="00E73A85" w:rsidRDefault="00A64B41" w:rsidP="003D6BC1">
      <w:pPr>
        <w:rPr>
          <w:lang w:eastAsia="ja-JP"/>
        </w:rPr>
      </w:pPr>
      <w:r>
        <w:rPr>
          <w:lang w:eastAsia="ja-JP"/>
        </w:rPr>
        <w:t xml:space="preserve">As explained in </w:t>
      </w:r>
      <w:r w:rsidR="00E73A85">
        <w:rPr>
          <w:lang w:eastAsia="ja-JP"/>
        </w:rPr>
        <w:t>subsection 2.1.</w:t>
      </w:r>
      <w:r w:rsidR="0070191F">
        <w:rPr>
          <w:lang w:eastAsia="ja-JP"/>
        </w:rPr>
        <w:t>1.2</w:t>
      </w:r>
      <w:r w:rsidR="00E73A85">
        <w:rPr>
          <w:lang w:eastAsia="ja-JP"/>
        </w:rPr>
        <w:t xml:space="preserve">, the benefits of supporting SRS as a source for QCL-TypeD are questionable, and it would seem unnecessary to require UEs to implement that functionality. Thus, </w:t>
      </w:r>
      <w:r w:rsidR="00063F03">
        <w:rPr>
          <w:lang w:eastAsia="ja-JP"/>
        </w:rPr>
        <w:t>we conclude that</w:t>
      </w:r>
      <w:r w:rsidR="00E73A85">
        <w:rPr>
          <w:lang w:eastAsia="ja-JP"/>
        </w:rPr>
        <w:t xml:space="preserve"> the SRS is only useful when used for UL beam indication.</w:t>
      </w:r>
    </w:p>
    <w:p w14:paraId="369D7203" w14:textId="2EA1126C" w:rsidR="009D4790" w:rsidRDefault="00E73A85" w:rsidP="003D6BC1">
      <w:pPr>
        <w:rPr>
          <w:lang w:eastAsia="ja-JP"/>
        </w:rPr>
      </w:pPr>
      <w:r>
        <w:rPr>
          <w:lang w:eastAsia="ja-JP"/>
        </w:rPr>
        <w:t xml:space="preserve">The benefit of </w:t>
      </w:r>
      <w:r w:rsidR="0070191F">
        <w:rPr>
          <w:lang w:eastAsia="ja-JP"/>
        </w:rPr>
        <w:t>using a common pool</w:t>
      </w:r>
      <w:r>
        <w:rPr>
          <w:lang w:eastAsia="ja-JP"/>
        </w:rPr>
        <w:t xml:space="preserve"> is that only one set of TCI states needs to be defined. This reduces the RRC </w:t>
      </w:r>
      <w:r w:rsidR="00141CC3">
        <w:rPr>
          <w:lang w:eastAsia="ja-JP"/>
        </w:rPr>
        <w:t>signaling</w:t>
      </w:r>
      <w:r>
        <w:rPr>
          <w:lang w:eastAsia="ja-JP"/>
        </w:rPr>
        <w:t xml:space="preserve"> overhead when separate UL and DL beam indications are used. However, </w:t>
      </w:r>
      <w:r w:rsidR="0070191F">
        <w:rPr>
          <w:lang w:eastAsia="ja-JP"/>
        </w:rPr>
        <w:t>with a common pool, the</w:t>
      </w:r>
      <w:r>
        <w:rPr>
          <w:lang w:eastAsia="ja-JP"/>
        </w:rPr>
        <w:t xml:space="preserve"> TCI state definition is extended with optional parameters to handle SRS and the pathloss reference RS, the RRC signalling overhead will increase, since optional RRC parameters have that effect. We will suffer from this overhead also when using the same TCI state in UL and DL:</w:t>
      </w:r>
    </w:p>
    <w:p w14:paraId="3CA22275" w14:textId="02B76536" w:rsidR="00E73A85" w:rsidRDefault="009E45FB" w:rsidP="00E73A85">
      <w:pPr>
        <w:pStyle w:val="Observation"/>
      </w:pPr>
      <w:bookmarkStart w:id="15" w:name="_Toc61889340"/>
      <w:r>
        <w:t>If the TCI state is extended with optional parameters, the RRC signalling will grow, even if the optional parameters are not included in the signalling.</w:t>
      </w:r>
      <w:bookmarkEnd w:id="15"/>
    </w:p>
    <w:p w14:paraId="517C4C64" w14:textId="1F51960C" w:rsidR="0060598C" w:rsidRDefault="00AE2091" w:rsidP="0060598C">
      <w:pPr>
        <w:pStyle w:val="BodyText"/>
        <w:rPr>
          <w:lang w:eastAsia="ja-JP"/>
        </w:rPr>
      </w:pPr>
      <w:r w:rsidRPr="00B25BEA">
        <w:t xml:space="preserve">It is important </w:t>
      </w:r>
      <w:r>
        <w:t xml:space="preserve">to remember </w:t>
      </w:r>
      <w:r w:rsidRPr="00B25BEA">
        <w:t xml:space="preserve">that common beam operation is </w:t>
      </w:r>
      <w:r>
        <w:t xml:space="preserve">more common and need to be </w:t>
      </w:r>
      <w:r w:rsidRPr="00B25BEA">
        <w:t>efficiently supported also across UL and DL. The configuration and application of the UL TCI is an add-on that can be configured if needed</w:t>
      </w:r>
      <w:r w:rsidR="0060598C">
        <w:t>. Furthermore, i</w:t>
      </w:r>
      <w:r>
        <w:rPr>
          <w:lang w:eastAsia="ja-JP"/>
        </w:rPr>
        <w:t xml:space="preserve">t is most likely that UL TCI is an optional UE capability. </w:t>
      </w:r>
      <w:r w:rsidR="0060598C">
        <w:rPr>
          <w:lang w:eastAsia="ja-JP"/>
        </w:rPr>
        <w:t>If the pool of UL TCI states is separate from the DL TCI states, the mapping between UE capability and RRC configuration will be quite straightforward: a UE that supports UL TCI can be configured with a pool of UL TCI states. If the pool is common between UL and DL TCI states, the mapping between UE capability and RRC configuration is far more complex.</w:t>
      </w:r>
    </w:p>
    <w:p w14:paraId="1443C394" w14:textId="51CAF37F" w:rsidR="009D4790" w:rsidRPr="00AE2091" w:rsidRDefault="0060598C" w:rsidP="0060598C">
      <w:pPr>
        <w:pStyle w:val="Observation"/>
        <w:rPr>
          <w:lang w:eastAsia="zh-CN"/>
        </w:rPr>
      </w:pPr>
      <w:bookmarkStart w:id="16" w:name="_Toc61889341"/>
      <w:r>
        <w:t>If the UL TCI states is taken from a separate pool of TCI states, the mapping between UE capability and RRC configuration is very straightforward.</w:t>
      </w:r>
      <w:bookmarkEnd w:id="16"/>
      <w:r>
        <w:t xml:space="preserve">  </w:t>
      </w:r>
    </w:p>
    <w:p w14:paraId="1C4DCBD5" w14:textId="47756CBF" w:rsidR="0070191F" w:rsidRDefault="0070191F" w:rsidP="003D6BC1">
      <w:pPr>
        <w:rPr>
          <w:lang w:val="en-GB" w:eastAsia="ja-JP"/>
        </w:rPr>
      </w:pPr>
      <w:r>
        <w:rPr>
          <w:lang w:val="en-GB" w:eastAsia="ja-JP"/>
        </w:rPr>
        <w:t>Furthermore, since an UL TCI state will be readily applicable across CCs for intra-band CA, it would become easier to reduce the RRC signalling overhead.</w:t>
      </w:r>
    </w:p>
    <w:p w14:paraId="489F5865" w14:textId="25B7EEB8" w:rsidR="003D6BC1" w:rsidRDefault="0060598C" w:rsidP="003D6BC1">
      <w:pPr>
        <w:rPr>
          <w:lang w:val="en-GB" w:eastAsia="ja-JP"/>
        </w:rPr>
      </w:pPr>
      <w:r>
        <w:rPr>
          <w:lang w:val="en-GB" w:eastAsia="ja-JP"/>
        </w:rPr>
        <w:t>Last but not least, the structure in RRC becomes cleaner if a separate pool is defined. Based on the above arguments, we propose</w:t>
      </w:r>
    </w:p>
    <w:p w14:paraId="30268DD4" w14:textId="65C06790" w:rsidR="0060598C" w:rsidRPr="003D6BC1" w:rsidRDefault="00985039" w:rsidP="0060598C">
      <w:pPr>
        <w:pStyle w:val="Proposal"/>
        <w:rPr>
          <w:lang w:val="en-GB"/>
        </w:rPr>
      </w:pPr>
      <w:bookmarkStart w:id="17" w:name="_Toc61889358"/>
      <w:r w:rsidRPr="00985039">
        <w:rPr>
          <w:lang w:val="en-GB"/>
        </w:rPr>
        <w:t>The UL TCI state is taken from another pool of TCI states than the DL TCI state</w:t>
      </w:r>
      <w:r w:rsidR="0060598C">
        <w:rPr>
          <w:lang w:val="en-GB"/>
        </w:rPr>
        <w:t>.</w:t>
      </w:r>
      <w:bookmarkEnd w:id="17"/>
      <w:r w:rsidR="0060598C">
        <w:rPr>
          <w:lang w:val="en-GB"/>
        </w:rPr>
        <w:t xml:space="preserve"> </w:t>
      </w:r>
    </w:p>
    <w:p w14:paraId="2D38A7F0" w14:textId="7C5E7375" w:rsidR="00141CC3" w:rsidRPr="003D6BC1" w:rsidRDefault="00141CC3" w:rsidP="00141CC3">
      <w:pPr>
        <w:rPr>
          <w:lang w:val="en-GB"/>
        </w:rPr>
      </w:pPr>
      <w:r>
        <w:rPr>
          <w:lang w:val="en-GB"/>
        </w:rPr>
        <w:t>However, the aspects discussed here are more in the RAN2 domain. One option would be to simply indicate to RAN2 what properties need to be defined for an UL TCI state, and let RAN2 design the actual signalling.</w:t>
      </w:r>
    </w:p>
    <w:p w14:paraId="1B254AAA" w14:textId="7860FF14" w:rsidR="00AD0321" w:rsidRPr="00B717E3" w:rsidRDefault="0002098F" w:rsidP="00AD0321">
      <w:pPr>
        <w:pStyle w:val="Heading3"/>
      </w:pPr>
      <w:r w:rsidRPr="00B717E3">
        <w:t>2.1.</w:t>
      </w:r>
      <w:r w:rsidR="00282875">
        <w:t>3</w:t>
      </w:r>
      <w:r w:rsidRPr="00B717E3">
        <w:tab/>
      </w:r>
      <w:r w:rsidR="00B717E3" w:rsidRPr="00B717E3">
        <w:t>T</w:t>
      </w:r>
      <w:r w:rsidR="00AD0321" w:rsidRPr="00B717E3">
        <w:t>iming</w:t>
      </w:r>
    </w:p>
    <w:p w14:paraId="7F4692C1" w14:textId="3C71E8E5" w:rsidR="00027F89" w:rsidRPr="00B717E3" w:rsidRDefault="001B35B1" w:rsidP="00AD0321">
      <w:pPr>
        <w:rPr>
          <w:lang w:val="en-GB" w:eastAsia="ja-JP"/>
        </w:rPr>
      </w:pPr>
      <w:r w:rsidRPr="00B717E3">
        <w:rPr>
          <w:lang w:val="en-GB" w:eastAsia="ja-JP"/>
        </w:rPr>
        <w:t xml:space="preserve">In </w:t>
      </w:r>
      <w:r w:rsidRPr="00B717E3">
        <w:rPr>
          <w:lang w:val="en-GB" w:eastAsia="ja-JP"/>
        </w:rPr>
        <w:fldChar w:fldCharType="begin"/>
      </w:r>
      <w:r w:rsidRPr="00B717E3">
        <w:rPr>
          <w:lang w:val="en-GB" w:eastAsia="ja-JP"/>
        </w:rPr>
        <w:instrText xml:space="preserve"> REF _Ref53994573 \r \h </w:instrText>
      </w:r>
      <w:r w:rsidR="009A1AA7" w:rsidRPr="00B717E3">
        <w:rPr>
          <w:lang w:val="en-GB" w:eastAsia="ja-JP"/>
        </w:rPr>
        <w:instrText xml:space="preserve"> \* MERGEFORMAT </w:instrText>
      </w:r>
      <w:r w:rsidRPr="00B717E3">
        <w:rPr>
          <w:lang w:val="en-GB" w:eastAsia="ja-JP"/>
        </w:rPr>
      </w:r>
      <w:r w:rsidRPr="00B717E3">
        <w:rPr>
          <w:lang w:val="en-GB" w:eastAsia="ja-JP"/>
        </w:rPr>
        <w:fldChar w:fldCharType="separate"/>
      </w:r>
      <w:r w:rsidR="000B407C">
        <w:rPr>
          <w:lang w:val="en-GB" w:eastAsia="ja-JP"/>
        </w:rPr>
        <w:t>[2]</w:t>
      </w:r>
      <w:r w:rsidRPr="00B717E3">
        <w:rPr>
          <w:lang w:val="en-GB" w:eastAsia="ja-JP"/>
        </w:rPr>
        <w:fldChar w:fldCharType="end"/>
      </w:r>
      <w:r w:rsidRPr="00B717E3">
        <w:rPr>
          <w:lang w:val="en-GB" w:eastAsia="ja-JP"/>
        </w:rPr>
        <w:t xml:space="preserve">, RAN4 introduced so-called </w:t>
      </w:r>
      <w:r w:rsidRPr="00B717E3">
        <w:rPr>
          <w:i/>
          <w:lang w:val="en-GB" w:eastAsia="ja-JP"/>
        </w:rPr>
        <w:t>one-shot timing adjustment</w:t>
      </w:r>
      <w:r w:rsidRPr="00B717E3">
        <w:rPr>
          <w:lang w:val="en-GB" w:eastAsia="ja-JP"/>
        </w:rPr>
        <w:t>. One-shot timing adjustment implies that in case the UE experiences a large-enough offset in the reception timing, the UE performs a larger adjustment of its transmi</w:t>
      </w:r>
      <w:r w:rsidR="000F4328" w:rsidRPr="00B717E3">
        <w:rPr>
          <w:lang w:val="en-GB" w:eastAsia="ja-JP"/>
        </w:rPr>
        <w:t>ssion</w:t>
      </w:r>
      <w:r w:rsidRPr="00B717E3">
        <w:rPr>
          <w:lang w:val="en-GB" w:eastAsia="ja-JP"/>
        </w:rPr>
        <w:t xml:space="preserve"> timing. This functionality is beneficial for cases when there is an update in the TCI state so that the timing changes. Without such one-shot timing adjustment, the UE may adjust only slowly to</w:t>
      </w:r>
      <w:r w:rsidR="00027F89" w:rsidRPr="00B717E3">
        <w:rPr>
          <w:lang w:val="en-GB" w:eastAsia="ja-JP"/>
        </w:rPr>
        <w:t xml:space="preserve"> changing timing, which would impact the performance.</w:t>
      </w:r>
    </w:p>
    <w:p w14:paraId="2066E5C6" w14:textId="742DDF5B" w:rsidR="004524C2" w:rsidRPr="00B717E3" w:rsidRDefault="00027F89" w:rsidP="00AD0321">
      <w:pPr>
        <w:rPr>
          <w:lang w:val="en-GB" w:eastAsia="ja-JP"/>
        </w:rPr>
      </w:pPr>
      <w:r w:rsidRPr="00B717E3">
        <w:rPr>
          <w:lang w:val="en-GB" w:eastAsia="ja-JP"/>
        </w:rPr>
        <w:t>Unfortunately, RAN4 failed to finalize th</w:t>
      </w:r>
      <w:r w:rsidR="00592998">
        <w:rPr>
          <w:lang w:val="en-GB" w:eastAsia="ja-JP"/>
        </w:rPr>
        <w:t>e</w:t>
      </w:r>
      <w:r w:rsidRPr="00B717E3">
        <w:rPr>
          <w:lang w:val="en-GB" w:eastAsia="ja-JP"/>
        </w:rPr>
        <w:t xml:space="preserve"> details of one-shot timing</w:t>
      </w:r>
      <w:r w:rsidR="00063F03">
        <w:rPr>
          <w:lang w:val="en-GB" w:eastAsia="ja-JP"/>
        </w:rPr>
        <w:t xml:space="preserve"> adjustment</w:t>
      </w:r>
      <w:r w:rsidRPr="00B717E3">
        <w:rPr>
          <w:lang w:val="en-GB" w:eastAsia="ja-JP"/>
        </w:rPr>
        <w:t>, and it was removed in</w:t>
      </w:r>
      <w:r w:rsidR="001B35B1" w:rsidRPr="00B717E3">
        <w:rPr>
          <w:lang w:val="en-GB" w:eastAsia="ja-JP"/>
        </w:rPr>
        <w:t xml:space="preserve"> </w:t>
      </w:r>
      <w:r w:rsidR="001B35B1" w:rsidRPr="00B717E3">
        <w:rPr>
          <w:lang w:val="en-GB" w:eastAsia="ja-JP"/>
        </w:rPr>
        <w:fldChar w:fldCharType="begin"/>
      </w:r>
      <w:r w:rsidR="001B35B1" w:rsidRPr="00B717E3">
        <w:rPr>
          <w:lang w:val="en-GB" w:eastAsia="ja-JP"/>
        </w:rPr>
        <w:instrText xml:space="preserve"> REF _Ref53994575 \r \h </w:instrText>
      </w:r>
      <w:r w:rsidR="009A1AA7" w:rsidRPr="00B717E3">
        <w:rPr>
          <w:lang w:val="en-GB" w:eastAsia="ja-JP"/>
        </w:rPr>
        <w:instrText xml:space="preserve"> \* MERGEFORMAT </w:instrText>
      </w:r>
      <w:r w:rsidR="001B35B1" w:rsidRPr="00B717E3">
        <w:rPr>
          <w:lang w:val="en-GB" w:eastAsia="ja-JP"/>
        </w:rPr>
      </w:r>
      <w:r w:rsidR="001B35B1" w:rsidRPr="00B717E3">
        <w:rPr>
          <w:lang w:val="en-GB" w:eastAsia="ja-JP"/>
        </w:rPr>
        <w:fldChar w:fldCharType="separate"/>
      </w:r>
      <w:r w:rsidR="000B407C">
        <w:rPr>
          <w:lang w:val="en-GB" w:eastAsia="ja-JP"/>
        </w:rPr>
        <w:t>[3]</w:t>
      </w:r>
      <w:r w:rsidR="001B35B1" w:rsidRPr="00B717E3">
        <w:rPr>
          <w:lang w:val="en-GB" w:eastAsia="ja-JP"/>
        </w:rPr>
        <w:fldChar w:fldCharType="end"/>
      </w:r>
      <w:r w:rsidRPr="00B717E3">
        <w:rPr>
          <w:lang w:val="en-GB" w:eastAsia="ja-JP"/>
        </w:rPr>
        <w:t xml:space="preserve">. </w:t>
      </w:r>
      <w:r w:rsidR="004524C2" w:rsidRPr="00B717E3">
        <w:rPr>
          <w:lang w:val="en-GB" w:eastAsia="ja-JP"/>
        </w:rPr>
        <w:t xml:space="preserve">For the functionality that is considered in the </w:t>
      </w:r>
      <w:r w:rsidR="00B717E3">
        <w:rPr>
          <w:lang w:val="en-GB" w:eastAsia="ja-JP"/>
        </w:rPr>
        <w:t>F</w:t>
      </w:r>
      <w:r w:rsidR="004524C2" w:rsidRPr="00B717E3">
        <w:rPr>
          <w:lang w:val="en-GB" w:eastAsia="ja-JP"/>
        </w:rPr>
        <w:t xml:space="preserve">eMIMO WI, where faster updates of beams, and potentially also changes in Rx timing are foreseen, it would be very beneficial if RAN4 could re-introduce the one-shot timing </w:t>
      </w:r>
      <w:r w:rsidR="00063F03">
        <w:rPr>
          <w:lang w:val="en-GB" w:eastAsia="ja-JP"/>
        </w:rPr>
        <w:t xml:space="preserve">adjustment </w:t>
      </w:r>
      <w:r w:rsidR="004524C2" w:rsidRPr="00B717E3">
        <w:rPr>
          <w:lang w:val="en-GB" w:eastAsia="ja-JP"/>
        </w:rPr>
        <w:t>into 38.133. Therefore, we propose</w:t>
      </w:r>
    </w:p>
    <w:p w14:paraId="71E430F5" w14:textId="1E40331D" w:rsidR="006F3BC7" w:rsidRPr="00B717E3" w:rsidRDefault="004524C2" w:rsidP="004524C2">
      <w:pPr>
        <w:pStyle w:val="Proposal"/>
        <w:rPr>
          <w:lang w:val="en-GB"/>
        </w:rPr>
      </w:pPr>
      <w:bookmarkStart w:id="18" w:name="_Toc61889359"/>
      <w:r w:rsidRPr="00B717E3">
        <w:rPr>
          <w:lang w:val="en-GB"/>
        </w:rPr>
        <w:t>Send an LS to RAN4 describing that RAN1 is considering faster beam updates, and explain that one-shot timing adjustment would constitute a very important building block in that work.</w:t>
      </w:r>
      <w:bookmarkEnd w:id="18"/>
      <w:r w:rsidRPr="00B717E3">
        <w:rPr>
          <w:lang w:val="en-GB"/>
        </w:rPr>
        <w:t xml:space="preserve"> </w:t>
      </w:r>
    </w:p>
    <w:p w14:paraId="783602A8" w14:textId="024975E1" w:rsidR="00B717E3" w:rsidRDefault="00B717E3" w:rsidP="00B717E3">
      <w:pPr>
        <w:pStyle w:val="Heading3"/>
      </w:pPr>
      <w:r w:rsidRPr="00B717E3">
        <w:t>2.1.</w:t>
      </w:r>
      <w:r w:rsidR="004236E1">
        <w:t>4</w:t>
      </w:r>
      <w:r w:rsidRPr="00B717E3">
        <w:tab/>
        <w:t>Power control</w:t>
      </w:r>
    </w:p>
    <w:p w14:paraId="1FE2365F" w14:textId="6EDB54DD" w:rsidR="009C0304" w:rsidRDefault="009C0304" w:rsidP="009C0304">
      <w:pPr>
        <w:rPr>
          <w:lang w:val="en-GB" w:eastAsia="ja-JP"/>
        </w:rPr>
      </w:pPr>
      <w:r>
        <w:rPr>
          <w:lang w:val="en-GB" w:eastAsia="ja-JP"/>
        </w:rPr>
        <w:t>During RAN1#103-e, there was some discussion about power control and its relation to the unified TCI framework. There were two main discussion points:</w:t>
      </w:r>
    </w:p>
    <w:p w14:paraId="6F53888F" w14:textId="2DA860DE" w:rsidR="009C0304" w:rsidRPr="009C0304" w:rsidRDefault="009C0304" w:rsidP="009C0304">
      <w:pPr>
        <w:pStyle w:val="ListParagraph"/>
        <w:numPr>
          <w:ilvl w:val="0"/>
          <w:numId w:val="46"/>
        </w:numPr>
        <w:rPr>
          <w:rFonts w:ascii="Arial" w:hAnsi="Arial" w:cs="Arial"/>
          <w:sz w:val="20"/>
          <w:szCs w:val="20"/>
          <w:lang w:val="en-GB" w:eastAsia="ja-JP"/>
        </w:rPr>
      </w:pPr>
      <w:r w:rsidRPr="009C0304">
        <w:rPr>
          <w:rFonts w:ascii="Arial" w:hAnsi="Arial" w:cs="Arial"/>
          <w:sz w:val="20"/>
          <w:szCs w:val="20"/>
          <w:lang w:val="en-GB" w:eastAsia="ja-JP"/>
        </w:rPr>
        <w:t>How do we associate the PL RS with a unified TCI state?</w:t>
      </w:r>
    </w:p>
    <w:p w14:paraId="49B9FF44" w14:textId="430036FD" w:rsidR="009C0304" w:rsidRDefault="009C0304" w:rsidP="009C0304">
      <w:pPr>
        <w:pStyle w:val="ListParagraph"/>
        <w:numPr>
          <w:ilvl w:val="0"/>
          <w:numId w:val="46"/>
        </w:numPr>
        <w:rPr>
          <w:rFonts w:ascii="Arial" w:hAnsi="Arial" w:cs="Arial"/>
          <w:sz w:val="20"/>
          <w:szCs w:val="20"/>
          <w:lang w:val="en-GB" w:eastAsia="ja-JP"/>
        </w:rPr>
      </w:pPr>
      <w:r w:rsidRPr="009C0304">
        <w:rPr>
          <w:rFonts w:ascii="Arial" w:hAnsi="Arial" w:cs="Arial"/>
          <w:sz w:val="20"/>
          <w:szCs w:val="20"/>
          <w:lang w:val="en-GB" w:eastAsia="ja-JP"/>
        </w:rPr>
        <w:t>What is the relation between other power control parameters and a TCI state?</w:t>
      </w:r>
    </w:p>
    <w:p w14:paraId="0EA22A93" w14:textId="4993CA22" w:rsidR="002C7D2A" w:rsidRDefault="009C0304" w:rsidP="009C0304">
      <w:pPr>
        <w:rPr>
          <w:rFonts w:cs="Arial"/>
          <w:szCs w:val="20"/>
          <w:lang w:val="en-GB" w:eastAsia="ja-JP"/>
        </w:rPr>
      </w:pPr>
      <w:r>
        <w:rPr>
          <w:rFonts w:cs="Arial"/>
          <w:szCs w:val="20"/>
          <w:lang w:val="en-GB" w:eastAsia="ja-JP"/>
        </w:rPr>
        <w:t xml:space="preserve">To us, it is clear that there should be a relation between </w:t>
      </w:r>
      <w:r w:rsidR="002C7D2A">
        <w:rPr>
          <w:rFonts w:cs="Arial"/>
          <w:szCs w:val="20"/>
          <w:lang w:val="en-GB" w:eastAsia="ja-JP"/>
        </w:rPr>
        <w:t>the</w:t>
      </w:r>
      <w:r>
        <w:rPr>
          <w:rFonts w:cs="Arial"/>
          <w:szCs w:val="20"/>
          <w:lang w:val="en-GB" w:eastAsia="ja-JP"/>
        </w:rPr>
        <w:t xml:space="preserve"> </w:t>
      </w:r>
      <w:r w:rsidR="002C7D2A">
        <w:rPr>
          <w:rFonts w:cs="Arial"/>
          <w:szCs w:val="20"/>
          <w:lang w:val="en-GB" w:eastAsia="ja-JP"/>
        </w:rPr>
        <w:t xml:space="preserve">UL </w:t>
      </w:r>
      <w:r>
        <w:rPr>
          <w:rFonts w:cs="Arial"/>
          <w:szCs w:val="20"/>
          <w:lang w:val="en-GB" w:eastAsia="ja-JP"/>
        </w:rPr>
        <w:t xml:space="preserve">TCI state and the PL RS. When the RS in the TCI state is a DL RS, there seems to be little reason to use anything else – a separate configuration of the PL RS would simply be unnecessary overhead. </w:t>
      </w:r>
      <w:r w:rsidR="00E76CB6">
        <w:rPr>
          <w:rFonts w:cs="Arial"/>
          <w:szCs w:val="20"/>
          <w:lang w:val="en-GB" w:eastAsia="ja-JP"/>
        </w:rPr>
        <w:t>On the other hand, w</w:t>
      </w:r>
      <w:r>
        <w:rPr>
          <w:rFonts w:cs="Arial"/>
          <w:szCs w:val="20"/>
          <w:lang w:val="en-GB" w:eastAsia="ja-JP"/>
        </w:rPr>
        <w:t xml:space="preserve">hen the RS in the </w:t>
      </w:r>
      <w:r w:rsidR="002C7D2A">
        <w:rPr>
          <w:rFonts w:cs="Arial"/>
          <w:szCs w:val="20"/>
          <w:lang w:val="en-GB" w:eastAsia="ja-JP"/>
        </w:rPr>
        <w:t xml:space="preserve">TCI state is an UL RS, the PL RS needs to be separately provided, and it would seem natural to include it in the UL TCI state, as shown in </w:t>
      </w:r>
      <w:r w:rsidR="002C7D2A">
        <w:rPr>
          <w:rFonts w:cs="Arial"/>
          <w:szCs w:val="20"/>
          <w:lang w:val="en-GB" w:eastAsia="ja-JP"/>
        </w:rPr>
        <w:fldChar w:fldCharType="begin"/>
      </w:r>
      <w:r w:rsidR="002C7D2A">
        <w:rPr>
          <w:rFonts w:cs="Arial"/>
          <w:szCs w:val="20"/>
          <w:lang w:val="en-GB" w:eastAsia="ja-JP"/>
        </w:rPr>
        <w:instrText xml:space="preserve"> REF _Ref47361901 \h </w:instrText>
      </w:r>
      <w:r w:rsidR="002C7D2A">
        <w:rPr>
          <w:rFonts w:cs="Arial"/>
          <w:szCs w:val="20"/>
          <w:lang w:val="en-GB" w:eastAsia="ja-JP"/>
        </w:rPr>
      </w:r>
      <w:r w:rsidR="002C7D2A">
        <w:rPr>
          <w:rFonts w:cs="Arial"/>
          <w:szCs w:val="20"/>
          <w:lang w:val="en-GB" w:eastAsia="ja-JP"/>
        </w:rPr>
        <w:fldChar w:fldCharType="separate"/>
      </w:r>
      <w:r w:rsidR="000B407C" w:rsidRPr="00B25BEA">
        <w:t xml:space="preserve">Table </w:t>
      </w:r>
      <w:r w:rsidR="000B407C">
        <w:rPr>
          <w:noProof/>
        </w:rPr>
        <w:t>3</w:t>
      </w:r>
      <w:r w:rsidR="002C7D2A">
        <w:rPr>
          <w:rFonts w:cs="Arial"/>
          <w:szCs w:val="20"/>
          <w:lang w:val="en-GB" w:eastAsia="ja-JP"/>
        </w:rPr>
        <w:fldChar w:fldCharType="end"/>
      </w:r>
      <w:r w:rsidR="002C7D2A">
        <w:rPr>
          <w:rFonts w:cs="Arial"/>
          <w:szCs w:val="20"/>
          <w:lang w:val="en-GB" w:eastAsia="ja-JP"/>
        </w:rPr>
        <w:t>:</w:t>
      </w:r>
    </w:p>
    <w:p w14:paraId="2877061D" w14:textId="77777777" w:rsidR="002C7D2A" w:rsidRDefault="002C7D2A" w:rsidP="002C7D2A">
      <w:pPr>
        <w:pStyle w:val="Proposal"/>
        <w:rPr>
          <w:lang w:val="en-GB"/>
        </w:rPr>
      </w:pPr>
      <w:bookmarkStart w:id="19" w:name="_Toc61889360"/>
      <w:r>
        <w:rPr>
          <w:lang w:val="en-GB"/>
        </w:rPr>
        <w:t>When the RS in the UL TCI state is a DL, the UE uses that RS as PL RS, and when the RS in the UL TCI is an UL RS, a separate PL RS is included in the UL TCI state.</w:t>
      </w:r>
      <w:bookmarkEnd w:id="19"/>
    </w:p>
    <w:p w14:paraId="7A4A6F3C" w14:textId="1D9D3AE4" w:rsidR="009C0304" w:rsidRDefault="002C7D2A" w:rsidP="002C7D2A">
      <w:pPr>
        <w:pStyle w:val="BodyText"/>
        <w:rPr>
          <w:lang w:val="en-GB"/>
        </w:rPr>
      </w:pPr>
      <w:r>
        <w:rPr>
          <w:lang w:val="en-GB"/>
        </w:rPr>
        <w:t xml:space="preserve">Other power control parameters </w:t>
      </w:r>
      <w:r w:rsidR="00E76CB6">
        <w:rPr>
          <w:color w:val="212529"/>
          <w:szCs w:val="20"/>
          <w:shd w:val="clear" w:color="auto" w:fill="FFFFFF"/>
        </w:rPr>
        <w:t>(P0/alpha, CL index)</w:t>
      </w:r>
      <w:r w:rsidR="00E76CB6">
        <w:rPr>
          <w:lang w:val="en-GB"/>
        </w:rPr>
        <w:t xml:space="preserve"> </w:t>
      </w:r>
      <w:r>
        <w:rPr>
          <w:lang w:val="en-GB"/>
        </w:rPr>
        <w:t>are not related to the UL TCI state. Instead, these parameters are related to the type of channel, or to what information is transmitted over the channel. For example, one set of PC parameter</w:t>
      </w:r>
      <w:r w:rsidR="009C0304">
        <w:rPr>
          <w:lang w:val="en-GB"/>
        </w:rPr>
        <w:t xml:space="preserve"> </w:t>
      </w:r>
      <w:r>
        <w:rPr>
          <w:lang w:val="en-GB"/>
        </w:rPr>
        <w:t>would be relevant for PUCCH, and another set of PC parameters would be relevant for PUSCH. However, using different values of, e.g., P0 depending on in which direction the PUSCH is transmitted would not seem motivated:</w:t>
      </w:r>
    </w:p>
    <w:p w14:paraId="40093F23" w14:textId="04051485" w:rsidR="002C7D2A" w:rsidRPr="009C0304" w:rsidRDefault="002C7D2A" w:rsidP="002C7D2A">
      <w:pPr>
        <w:pStyle w:val="Proposal"/>
        <w:rPr>
          <w:lang w:val="en-GB"/>
        </w:rPr>
      </w:pPr>
      <w:bookmarkStart w:id="20" w:name="_Toc61889361"/>
      <w:r>
        <w:rPr>
          <w:lang w:val="en-GB"/>
        </w:rPr>
        <w:t>Power control parameters other than the PL RS are not associated with the UL TCI.</w:t>
      </w:r>
      <w:bookmarkEnd w:id="20"/>
    </w:p>
    <w:p w14:paraId="69D261A4" w14:textId="148C8F8C" w:rsidR="0086351C" w:rsidRDefault="0086351C" w:rsidP="0086351C">
      <w:pPr>
        <w:pStyle w:val="Heading2"/>
      </w:pPr>
      <w:r>
        <w:t>2.</w:t>
      </w:r>
      <w:r w:rsidR="0019074B">
        <w:t>2</w:t>
      </w:r>
      <w:r>
        <w:tab/>
      </w:r>
      <w:r w:rsidR="006C42B1" w:rsidRPr="006C42B1">
        <w:t>L1/L2-centric inter-cell mobility</w:t>
      </w:r>
    </w:p>
    <w:p w14:paraId="58500D3F" w14:textId="412E752C" w:rsidR="006C4373" w:rsidRDefault="006C4373" w:rsidP="006C4373">
      <w:pPr>
        <w:rPr>
          <w:lang w:val="en-GB" w:eastAsia="ja-JP"/>
        </w:rPr>
      </w:pPr>
      <w:r>
        <w:rPr>
          <w:lang w:val="en-GB" w:eastAsia="ja-JP"/>
        </w:rPr>
        <w:t>L1/L2-centric inter-cell mobility is mentioned explicitly in the WID:</w:t>
      </w:r>
    </w:p>
    <w:p w14:paraId="12190693" w14:textId="77777777" w:rsidR="006C4373" w:rsidRDefault="006C4373" w:rsidP="006C4373">
      <w:r>
        <w:rPr>
          <w:rFonts w:ascii="Times New Roman" w:hAnsi="Times New Roman" w:cs="Times New Roman"/>
          <w:noProof/>
        </w:rPr>
        <mc:AlternateContent>
          <mc:Choice Requires="wps">
            <w:drawing>
              <wp:inline distT="0" distB="0" distL="0" distR="0" wp14:anchorId="651E0353" wp14:editId="4B7283C2">
                <wp:extent cx="6120765" cy="356870"/>
                <wp:effectExtent l="0" t="0" r="13335" b="24130"/>
                <wp:docPr id="8" name="Text Box 8"/>
                <wp:cNvGraphicFramePr/>
                <a:graphic xmlns:a="http://schemas.openxmlformats.org/drawingml/2006/main">
                  <a:graphicData uri="http://schemas.microsoft.com/office/word/2010/wordprocessingShape">
                    <wps:wsp>
                      <wps:cNvSpPr txBox="1"/>
                      <wps:spPr>
                        <a:xfrm>
                          <a:off x="0" y="0"/>
                          <a:ext cx="6120765" cy="356870"/>
                        </a:xfrm>
                        <a:prstGeom prst="rect">
                          <a:avLst/>
                        </a:prstGeom>
                        <a:solidFill>
                          <a:schemeClr val="lt1"/>
                        </a:solidFill>
                        <a:ln w="6350">
                          <a:solidFill>
                            <a:prstClr val="black"/>
                          </a:solidFill>
                        </a:ln>
                      </wps:spPr>
                      <wps:txbx>
                        <w:txbxContent>
                          <w:p w14:paraId="4C6AE70A" w14:textId="77777777" w:rsidR="00A645FD" w:rsidRPr="005022F4" w:rsidRDefault="00A645FD" w:rsidP="006C4373">
                            <w:pPr>
                              <w:pStyle w:val="ListParagraph"/>
                              <w:numPr>
                                <w:ilvl w:val="0"/>
                                <w:numId w:val="20"/>
                              </w:numPr>
                              <w:spacing w:line="240" w:lineRule="auto"/>
                              <w:ind w:left="720"/>
                              <w:jc w:val="both"/>
                              <w:rPr>
                                <w:rFonts w:ascii="Times New Roman" w:hAnsi="Times New Roman" w:cs="Times New Roman"/>
                              </w:rPr>
                            </w:pPr>
                            <w:r w:rsidRPr="005022F4">
                              <w:rPr>
                                <w:rFonts w:ascii="Times New Roman" w:hAnsi="Times New Roman" w:cs="Times New Roman"/>
                              </w:rPr>
                              <w:t xml:space="preserve">Enhancement on multi-beam operation, mainly targeting FR2 while also applicable to FR1: </w:t>
                            </w:r>
                          </w:p>
                          <w:p w14:paraId="3C2E53C2" w14:textId="77777777" w:rsidR="00A645FD" w:rsidRPr="005022F4" w:rsidRDefault="00A645FD" w:rsidP="006C4373">
                            <w:pPr>
                              <w:pStyle w:val="ListParagraph"/>
                              <w:numPr>
                                <w:ilvl w:val="1"/>
                                <w:numId w:val="20"/>
                              </w:numPr>
                              <w:spacing w:line="240" w:lineRule="auto"/>
                              <w:ind w:left="1440"/>
                              <w:jc w:val="both"/>
                              <w:rPr>
                                <w:rFonts w:ascii="Times New Roman" w:hAnsi="Times New Roman" w:cs="Times New Roman"/>
                              </w:rPr>
                            </w:pPr>
                            <w:r w:rsidRPr="005022F4">
                              <w:rPr>
                                <w:rFonts w:ascii="Times New Roman" w:hAnsi="Times New Roman" w:cs="Times New Roman"/>
                              </w:rPr>
                              <w:t>Identify and specify features to facilitate more efficient (lower latency and overhead) DL/UL beam management to support higher intra- and L1/L2-centric inter-cell mobility and/or a larger number of configured TCI states: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rto="http://schemas.microsoft.com/office/word/2006/arto">
            <w:pict>
              <v:shape w14:anchorId="651E0353" id="Text Box 8" o:spid="_x0000_s1029" type="#_x0000_t202" style="width:481.95pt;height:2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" fillcolor="white [3201]" strokeweight=".5pt">
                <v:textbox style="mso-fit-shape-to-text:t">
                  <w:txbxContent>
                    <w:p w14:paraId="4C6AE70A" w14:textId="77777777" w:rsidR="00A645FD" w:rsidRPr="005022F4" w:rsidRDefault="00A645FD" w:rsidP="006C4373">
                      <w:pPr>
                        <w:pStyle w:val="ListParagraph"/>
                        <w:numPr>
                          <w:ilvl w:val="0"/>
                          <w:numId w:val="20"/>
                        </w:numPr>
                        <w:spacing w:line="240" w:lineRule="auto"/>
                        <w:ind w:left="720"/>
                        <w:jc w:val="both"/>
                        <w:rPr>
                          <w:rFonts w:ascii="Times New Roman" w:hAnsi="Times New Roman" w:cs="Times New Roman"/>
                        </w:rPr>
                      </w:pPr>
                      <w:r w:rsidRPr="005022F4">
                        <w:rPr>
                          <w:rFonts w:ascii="Times New Roman" w:hAnsi="Times New Roman" w:cs="Times New Roman"/>
                        </w:rPr>
                        <w:t xml:space="preserve">Enhancement on multi-beam operation, mainly targeting FR2 while also applicable to FR1: </w:t>
                      </w:r>
                    </w:p>
                    <w:p w14:paraId="3C2E53C2" w14:textId="77777777" w:rsidR="00A645FD" w:rsidRPr="005022F4" w:rsidRDefault="00A645FD" w:rsidP="006C4373">
                      <w:pPr>
                        <w:pStyle w:val="ListParagraph"/>
                        <w:numPr>
                          <w:ilvl w:val="1"/>
                          <w:numId w:val="20"/>
                        </w:numPr>
                        <w:spacing w:line="240" w:lineRule="auto"/>
                        <w:ind w:left="1440"/>
                        <w:jc w:val="both"/>
                        <w:rPr>
                          <w:rFonts w:ascii="Times New Roman" w:hAnsi="Times New Roman" w:cs="Times New Roman"/>
                        </w:rPr>
                      </w:pPr>
                      <w:r w:rsidRPr="005022F4">
                        <w:rPr>
                          <w:rFonts w:ascii="Times New Roman" w:hAnsi="Times New Roman" w:cs="Times New Roman"/>
                        </w:rPr>
                        <w:t>Identify and specify features to facilitate more efficient (lower latency and overhead) DL/UL beam management to support higher intra- and L1/L2-centric inter-cell mobility and/or a larger number of configured TCI states:</w:t>
                      </w:r>
                    </w:p>
                  </w:txbxContent>
                </v:textbox>
                <w10:anchorlock/>
              </v:shape>
            </w:pict>
          </mc:Fallback>
        </mc:AlternateContent>
      </w:r>
    </w:p>
    <w:p w14:paraId="6250D3F3" w14:textId="56DB9A43" w:rsidR="006C4373" w:rsidRDefault="00005047" w:rsidP="006C4373">
      <w:r>
        <w:rPr>
          <w:lang w:val="en-GB" w:eastAsia="ja-JP"/>
        </w:rPr>
        <w:t>Although t</w:t>
      </w:r>
      <w:r w:rsidR="006C4373">
        <w:rPr>
          <w:lang w:val="en-GB" w:eastAsia="ja-JP"/>
        </w:rPr>
        <w:t xml:space="preserve">he Rel-15/16 beam management </w:t>
      </w:r>
      <w:r w:rsidR="006C4373">
        <w:t>procedures were defined for the case where one TRP transmits signals in beams, the procedures are equally applicable to the case where more than one TRP transmit the signals: measurements can be performed from reference signals from any TRP and a TCI state can contain reference signals transmitted from any TRP. However, there is currently an important restriction: all the TRPs must broadcast the same physical cell identity (PCI) in its SSBs. Due to this restriction, beam management is sometimes called “intra-cell mobility”.</w:t>
      </w:r>
    </w:p>
    <w:p w14:paraId="130DBA34" w14:textId="04B670B5" w:rsidR="006C4373" w:rsidRDefault="006C4373" w:rsidP="0075641D">
      <w:pPr>
        <w:rPr>
          <w:lang w:val="en-GB" w:eastAsia="ja-JP"/>
        </w:rPr>
      </w:pPr>
      <w:r>
        <w:rPr>
          <w:lang w:val="en-GB" w:eastAsia="ja-JP"/>
        </w:rPr>
        <w:t xml:space="preserve">The statement in the WID on L1/L2-centric mobility aims at removing </w:t>
      </w:r>
      <w:r w:rsidR="00371809">
        <w:rPr>
          <w:lang w:val="en-GB" w:eastAsia="ja-JP"/>
        </w:rPr>
        <w:t>the somewhat artificial restriction that all TRPs must broadcast the same PCI.</w:t>
      </w:r>
    </w:p>
    <w:p w14:paraId="660E82EE" w14:textId="506FDEE3" w:rsidR="00E467B8" w:rsidRDefault="00E467B8" w:rsidP="00E467B8">
      <w:pPr>
        <w:pStyle w:val="Heading3"/>
      </w:pPr>
      <w:r>
        <w:t>2.2.1</w:t>
      </w:r>
      <w:r>
        <w:tab/>
        <w:t xml:space="preserve">Performance of L1/L2-centric </w:t>
      </w:r>
      <w:r w:rsidR="008A6408">
        <w:t xml:space="preserve">inter-cell </w:t>
      </w:r>
      <w:r>
        <w:t>mobility</w:t>
      </w:r>
    </w:p>
    <w:p w14:paraId="17698D99" w14:textId="5E180A64" w:rsidR="005F1A47" w:rsidRDefault="005F1A47" w:rsidP="00A645FD">
      <w:pPr>
        <w:pStyle w:val="BodyText"/>
        <w:rPr>
          <w:lang w:val="en-GB"/>
        </w:rPr>
      </w:pPr>
      <w:r>
        <w:rPr>
          <w:lang w:val="en-GB"/>
        </w:rPr>
        <w:t xml:space="preserve">To investigate the potential performance impact of faster handover procedures for inter-cell mobility, we have performed simulations for the Dense Urban scenario described in the EVM </w:t>
      </w:r>
      <w:r>
        <w:rPr>
          <w:lang w:val="en-GB"/>
        </w:rPr>
        <w:fldChar w:fldCharType="begin"/>
      </w:r>
      <w:r>
        <w:rPr>
          <w:lang w:val="en-GB"/>
        </w:rPr>
        <w:instrText xml:space="preserve"> REF _Ref54161672 \r \h </w:instrText>
      </w:r>
      <w:r>
        <w:rPr>
          <w:lang w:val="en-GB"/>
        </w:rPr>
      </w:r>
      <w:r>
        <w:rPr>
          <w:lang w:val="en-GB"/>
        </w:rPr>
        <w:fldChar w:fldCharType="separate"/>
      </w:r>
      <w:r w:rsidR="000B407C">
        <w:rPr>
          <w:lang w:val="en-GB"/>
        </w:rPr>
        <w:t>[6]</w:t>
      </w:r>
      <w:r>
        <w:rPr>
          <w:lang w:val="en-GB"/>
        </w:rPr>
        <w:fldChar w:fldCharType="end"/>
      </w:r>
      <w:r>
        <w:rPr>
          <w:lang w:val="en-GB"/>
        </w:rPr>
        <w:t xml:space="preserve"> with 120km/h UE speed</w:t>
      </w:r>
      <w:r w:rsidR="00EF6123">
        <w:rPr>
          <w:lang w:val="en-GB"/>
        </w:rPr>
        <w:t xml:space="preserve"> </w:t>
      </w:r>
      <w:r w:rsidR="00CD097D">
        <w:rPr>
          <w:lang w:val="en-GB"/>
        </w:rPr>
        <w:t>and</w:t>
      </w:r>
      <w:r w:rsidR="00EF6123">
        <w:rPr>
          <w:lang w:val="en-GB"/>
        </w:rPr>
        <w:t xml:space="preserve"> 10 </w:t>
      </w:r>
      <w:r w:rsidR="00343B5E">
        <w:rPr>
          <w:lang w:val="en-GB"/>
        </w:rPr>
        <w:t xml:space="preserve">UEs </w:t>
      </w:r>
      <w:r w:rsidR="00C5539E">
        <w:rPr>
          <w:lang w:val="en-GB"/>
        </w:rPr>
        <w:t>at</w:t>
      </w:r>
      <w:r w:rsidR="00343B5E">
        <w:rPr>
          <w:lang w:val="en-GB"/>
        </w:rPr>
        <w:t xml:space="preserve"> random</w:t>
      </w:r>
      <w:r w:rsidR="00C5539E">
        <w:rPr>
          <w:lang w:val="en-GB"/>
        </w:rPr>
        <w:t xml:space="preserve"> positions</w:t>
      </w:r>
      <w:r w:rsidR="00343B5E">
        <w:rPr>
          <w:lang w:val="en-GB"/>
        </w:rPr>
        <w:t xml:space="preserve"> along the trajectory</w:t>
      </w:r>
      <w:r w:rsidR="00C5539E">
        <w:rPr>
          <w:lang w:val="en-GB"/>
        </w:rPr>
        <w:t xml:space="preserve"> for each drop</w:t>
      </w:r>
      <w:r w:rsidR="004347B5">
        <w:rPr>
          <w:lang w:val="en-GB"/>
        </w:rPr>
        <w:t xml:space="preserve">. </w:t>
      </w:r>
      <w:r w:rsidR="00814207">
        <w:rPr>
          <w:lang w:val="en-GB"/>
        </w:rPr>
        <w:t>Half of the trajectory</w:t>
      </w:r>
      <w:r w:rsidR="00EA492C">
        <w:rPr>
          <w:lang w:val="en-GB"/>
        </w:rPr>
        <w:t xml:space="preserve"> (72000 slots)</w:t>
      </w:r>
      <w:r w:rsidR="00814207">
        <w:rPr>
          <w:lang w:val="en-GB"/>
        </w:rPr>
        <w:t xml:space="preserve"> </w:t>
      </w:r>
      <w:r w:rsidR="00D0118A">
        <w:rPr>
          <w:lang w:val="en-GB"/>
        </w:rPr>
        <w:t>was</w:t>
      </w:r>
      <w:r w:rsidR="00814207">
        <w:rPr>
          <w:lang w:val="en-GB"/>
        </w:rPr>
        <w:t xml:space="preserve"> simulated in each drop,</w:t>
      </w:r>
      <w:r w:rsidR="00D0118A">
        <w:rPr>
          <w:lang w:val="en-GB"/>
        </w:rPr>
        <w:t xml:space="preserve"> and a total of 100 drops was performed</w:t>
      </w:r>
      <w:r w:rsidR="004347B5">
        <w:rPr>
          <w:lang w:val="en-GB"/>
        </w:rPr>
        <w:t xml:space="preserve">. </w:t>
      </w:r>
      <w:r w:rsidR="00B51EDB">
        <w:rPr>
          <w:lang w:val="en-GB"/>
        </w:rPr>
        <w:t xml:space="preserve">The UE </w:t>
      </w:r>
      <w:r w:rsidR="00133DC0">
        <w:rPr>
          <w:lang w:val="en-GB"/>
        </w:rPr>
        <w:t>channel</w:t>
      </w:r>
      <w:r w:rsidR="00B51EDB">
        <w:rPr>
          <w:lang w:val="en-GB"/>
        </w:rPr>
        <w:t xml:space="preserve"> mobility was updated every 10 ms, and </w:t>
      </w:r>
      <w:r w:rsidR="00133DC0">
        <w:rPr>
          <w:lang w:val="en-GB"/>
        </w:rPr>
        <w:t>inter-cell</w:t>
      </w:r>
      <w:r w:rsidR="00467441">
        <w:rPr>
          <w:lang w:val="en-GB"/>
        </w:rPr>
        <w:t xml:space="preserve"> handover search was performed every</w:t>
      </w:r>
      <w:r w:rsidR="00B51EDB">
        <w:rPr>
          <w:lang w:val="en-GB"/>
        </w:rPr>
        <w:t xml:space="preserve"> 100 ms</w:t>
      </w:r>
      <w:r w:rsidR="00467441">
        <w:rPr>
          <w:lang w:val="en-GB"/>
        </w:rPr>
        <w:t>, with a handover margin of 3 dB.</w:t>
      </w:r>
      <w:r w:rsidR="004347B5">
        <w:rPr>
          <w:lang w:val="en-GB"/>
        </w:rPr>
        <w:t xml:space="preserve"> Further details about the simulation parameters can be found in</w:t>
      </w:r>
      <w:r w:rsidR="00F818B7">
        <w:rPr>
          <w:lang w:val="en-GB"/>
        </w:rPr>
        <w:t xml:space="preserve"> </w:t>
      </w:r>
      <w:r w:rsidR="00F818B7">
        <w:rPr>
          <w:lang w:val="en-GB"/>
        </w:rPr>
        <w:fldChar w:fldCharType="begin"/>
      </w:r>
      <w:r w:rsidR="00F818B7">
        <w:rPr>
          <w:lang w:val="en-GB"/>
        </w:rPr>
        <w:instrText xml:space="preserve"> REF _Ref61433876 \r \h </w:instrText>
      </w:r>
      <w:r w:rsidR="00F818B7">
        <w:rPr>
          <w:lang w:val="en-GB"/>
        </w:rPr>
      </w:r>
      <w:r w:rsidR="00F818B7">
        <w:rPr>
          <w:lang w:val="en-GB"/>
        </w:rPr>
        <w:fldChar w:fldCharType="separate"/>
      </w:r>
      <w:r w:rsidR="000B407C">
        <w:rPr>
          <w:lang w:val="en-GB"/>
        </w:rPr>
        <w:t>[5]</w:t>
      </w:r>
      <w:r w:rsidR="00F818B7">
        <w:rPr>
          <w:lang w:val="en-GB"/>
        </w:rPr>
        <w:fldChar w:fldCharType="end"/>
      </w:r>
      <w:r>
        <w:rPr>
          <w:lang w:val="en-GB"/>
        </w:rPr>
        <w:t xml:space="preserve">. The handover procedure has been evaluated with respect to two different </w:t>
      </w:r>
      <w:r w:rsidR="00C5539E">
        <w:rPr>
          <w:lang w:val="en-GB"/>
        </w:rPr>
        <w:t xml:space="preserve">handover </w:t>
      </w:r>
      <w:r w:rsidR="00905BCB">
        <w:rPr>
          <w:lang w:val="en-GB"/>
        </w:rPr>
        <w:t>models</w:t>
      </w:r>
      <w:r w:rsidR="00746285">
        <w:rPr>
          <w:lang w:val="en-GB"/>
        </w:rPr>
        <w:t>:</w:t>
      </w:r>
      <w:r w:rsidR="00905BCB">
        <w:rPr>
          <w:lang w:val="en-GB"/>
        </w:rPr>
        <w:t xml:space="preserve"> L1/L2 and L3, where we have set the handover model parameters as</w:t>
      </w:r>
      <w:r>
        <w:rPr>
          <w:lang w:val="en-GB"/>
        </w:rPr>
        <w:t>:</w:t>
      </w:r>
    </w:p>
    <w:p w14:paraId="4769DC4E" w14:textId="4C9CCA8A" w:rsidR="005F1A47" w:rsidRPr="00005047" w:rsidRDefault="005F1A47" w:rsidP="005F1A47">
      <w:pPr>
        <w:pStyle w:val="ListParagraph"/>
        <w:numPr>
          <w:ilvl w:val="0"/>
          <w:numId w:val="44"/>
        </w:numPr>
        <w:spacing w:line="240" w:lineRule="auto"/>
        <w:rPr>
          <w:rFonts w:ascii="Arial" w:hAnsi="Arial" w:cs="Arial"/>
          <w:sz w:val="20"/>
          <w:szCs w:val="20"/>
          <w:lang w:val="en-GB" w:eastAsia="ja-JP"/>
        </w:rPr>
      </w:pPr>
      <w:r w:rsidRPr="00005047">
        <w:rPr>
          <w:rFonts w:ascii="Arial" w:hAnsi="Arial" w:cs="Arial"/>
          <w:sz w:val="20"/>
          <w:szCs w:val="20"/>
          <w:lang w:val="en-GB" w:eastAsia="ja-JP"/>
        </w:rPr>
        <w:t>Handover deactivation delay</w:t>
      </w:r>
      <w:r w:rsidR="00B90FF4" w:rsidRPr="00005047">
        <w:rPr>
          <w:rFonts w:ascii="Arial" w:hAnsi="Arial" w:cs="Arial"/>
          <w:sz w:val="20"/>
          <w:szCs w:val="20"/>
          <w:lang w:val="en-GB" w:eastAsia="ja-JP"/>
        </w:rPr>
        <w:t>: L1/L2:</w:t>
      </w:r>
      <w:r w:rsidR="007D5353" w:rsidRPr="00005047">
        <w:rPr>
          <w:rFonts w:ascii="Arial" w:hAnsi="Arial" w:cs="Arial"/>
          <w:sz w:val="20"/>
          <w:szCs w:val="20"/>
          <w:lang w:val="en-GB" w:eastAsia="ja-JP"/>
        </w:rPr>
        <w:t xml:space="preserve"> </w:t>
      </w:r>
      <w:r w:rsidR="00B90FF4" w:rsidRPr="00005047">
        <w:rPr>
          <w:rFonts w:ascii="Arial" w:hAnsi="Arial" w:cs="Arial"/>
          <w:sz w:val="20"/>
          <w:szCs w:val="20"/>
          <w:lang w:val="en-GB" w:eastAsia="ja-JP"/>
        </w:rPr>
        <w:t>10 ms, L3: 1000 ms</w:t>
      </w:r>
      <w:r w:rsidRPr="00005047">
        <w:rPr>
          <w:rFonts w:ascii="Arial" w:hAnsi="Arial" w:cs="Arial"/>
          <w:sz w:val="20"/>
          <w:szCs w:val="20"/>
          <w:lang w:val="en-GB" w:eastAsia="ja-JP"/>
        </w:rPr>
        <w:t xml:space="preserve"> </w:t>
      </w:r>
    </w:p>
    <w:p w14:paraId="67E650D4" w14:textId="242D7D9F" w:rsidR="00BE2CB4" w:rsidRPr="00005047" w:rsidRDefault="005F1A47" w:rsidP="00BD5013">
      <w:pPr>
        <w:pStyle w:val="ListParagraph"/>
        <w:numPr>
          <w:ilvl w:val="0"/>
          <w:numId w:val="44"/>
        </w:numPr>
        <w:spacing w:after="240" w:line="240" w:lineRule="auto"/>
        <w:rPr>
          <w:rFonts w:ascii="Arial" w:hAnsi="Arial" w:cs="Arial"/>
          <w:sz w:val="20"/>
          <w:szCs w:val="20"/>
          <w:lang w:val="en-GB" w:eastAsia="ja-JP"/>
        </w:rPr>
      </w:pPr>
      <w:r w:rsidRPr="00005047">
        <w:rPr>
          <w:rFonts w:ascii="Arial" w:hAnsi="Arial" w:cs="Arial"/>
          <w:sz w:val="20"/>
          <w:szCs w:val="20"/>
          <w:lang w:val="en-GB" w:eastAsia="ja-JP"/>
        </w:rPr>
        <w:t>Handover interruption time</w:t>
      </w:r>
      <w:r w:rsidR="00F45A9C" w:rsidRPr="00005047">
        <w:rPr>
          <w:rFonts w:ascii="Arial" w:hAnsi="Arial" w:cs="Arial"/>
          <w:sz w:val="20"/>
          <w:szCs w:val="20"/>
          <w:lang w:val="en-GB" w:eastAsia="ja-JP"/>
        </w:rPr>
        <w:t xml:space="preserve"> with no data transfer</w:t>
      </w:r>
      <w:r w:rsidR="00B90FF4" w:rsidRPr="00005047">
        <w:rPr>
          <w:rFonts w:ascii="Arial" w:hAnsi="Arial" w:cs="Arial"/>
          <w:sz w:val="20"/>
          <w:szCs w:val="20"/>
          <w:lang w:val="en-GB" w:eastAsia="ja-JP"/>
        </w:rPr>
        <w:t>: L1/L2:</w:t>
      </w:r>
      <w:r w:rsidR="007D5353" w:rsidRPr="00005047">
        <w:rPr>
          <w:rFonts w:ascii="Arial" w:hAnsi="Arial" w:cs="Arial"/>
          <w:sz w:val="20"/>
          <w:szCs w:val="20"/>
          <w:lang w:val="en-GB" w:eastAsia="ja-JP"/>
        </w:rPr>
        <w:t xml:space="preserve"> </w:t>
      </w:r>
      <w:r w:rsidR="00B90FF4" w:rsidRPr="00005047">
        <w:rPr>
          <w:rFonts w:ascii="Arial" w:hAnsi="Arial" w:cs="Arial"/>
          <w:sz w:val="20"/>
          <w:szCs w:val="20"/>
          <w:lang w:val="en-GB" w:eastAsia="ja-JP"/>
        </w:rPr>
        <w:t>5 slots, L3</w:t>
      </w:r>
      <w:r w:rsidR="007D5353" w:rsidRPr="00005047">
        <w:rPr>
          <w:rFonts w:ascii="Arial" w:hAnsi="Arial" w:cs="Arial"/>
          <w:sz w:val="20"/>
          <w:szCs w:val="20"/>
          <w:lang w:val="en-GB" w:eastAsia="ja-JP"/>
        </w:rPr>
        <w:t>:</w:t>
      </w:r>
      <w:r w:rsidR="00B90FF4" w:rsidRPr="00005047">
        <w:rPr>
          <w:rFonts w:ascii="Arial" w:hAnsi="Arial" w:cs="Arial"/>
          <w:sz w:val="20"/>
          <w:szCs w:val="20"/>
          <w:lang w:val="en-GB" w:eastAsia="ja-JP"/>
        </w:rPr>
        <w:t xml:space="preserve"> </w:t>
      </w:r>
      <w:r w:rsidR="007D5353" w:rsidRPr="00005047">
        <w:rPr>
          <w:rFonts w:ascii="Arial" w:hAnsi="Arial" w:cs="Arial"/>
          <w:sz w:val="20"/>
          <w:szCs w:val="20"/>
          <w:lang w:val="en-GB" w:eastAsia="ja-JP"/>
        </w:rPr>
        <w:t>80 ms</w:t>
      </w:r>
    </w:p>
    <w:p w14:paraId="4D8EF378" w14:textId="7954626D" w:rsidR="007B18B7" w:rsidRPr="00BF4B5F" w:rsidRDefault="007B18B7" w:rsidP="00BF4B5F">
      <w:pPr>
        <w:spacing w:line="240" w:lineRule="auto"/>
        <w:rPr>
          <w:lang w:val="en-GB" w:eastAsia="ja-JP"/>
        </w:rPr>
      </w:pPr>
      <w:r>
        <w:rPr>
          <w:lang w:val="en-GB" w:eastAsia="ja-JP"/>
        </w:rPr>
        <w:t xml:space="preserve">The </w:t>
      </w:r>
      <w:r w:rsidR="00313C8A">
        <w:rPr>
          <w:lang w:val="en-GB" w:eastAsia="ja-JP"/>
        </w:rPr>
        <w:t xml:space="preserve">resulting </w:t>
      </w:r>
      <w:r w:rsidR="00B956AD">
        <w:rPr>
          <w:lang w:val="en-GB" w:eastAsia="ja-JP"/>
        </w:rPr>
        <w:t>C.D.F</w:t>
      </w:r>
      <w:r w:rsidR="00C303DE">
        <w:rPr>
          <w:lang w:val="en-GB" w:eastAsia="ja-JP"/>
        </w:rPr>
        <w:t>.</w:t>
      </w:r>
      <w:r w:rsidR="00B956AD">
        <w:rPr>
          <w:lang w:val="en-GB" w:eastAsia="ja-JP"/>
        </w:rPr>
        <w:t xml:space="preserve"> of </w:t>
      </w:r>
      <w:r w:rsidR="00746285">
        <w:rPr>
          <w:lang w:val="en-GB" w:eastAsia="ja-JP"/>
        </w:rPr>
        <w:t xml:space="preserve">User Throughput </w:t>
      </w:r>
      <w:r w:rsidR="00313C8A">
        <w:rPr>
          <w:lang w:val="en-GB" w:eastAsia="ja-JP"/>
        </w:rPr>
        <w:t xml:space="preserve">is shown in </w:t>
      </w:r>
      <w:r w:rsidR="00313C8A">
        <w:rPr>
          <w:lang w:val="en-GB" w:eastAsia="ja-JP"/>
        </w:rPr>
        <w:fldChar w:fldCharType="begin"/>
      </w:r>
      <w:r w:rsidR="00313C8A">
        <w:rPr>
          <w:lang w:val="en-GB" w:eastAsia="ja-JP"/>
        </w:rPr>
        <w:instrText xml:space="preserve"> REF _Ref61434424 \h </w:instrText>
      </w:r>
      <w:r w:rsidR="00313C8A">
        <w:rPr>
          <w:lang w:val="en-GB" w:eastAsia="ja-JP"/>
        </w:rPr>
      </w:r>
      <w:r w:rsidR="00313C8A">
        <w:rPr>
          <w:lang w:val="en-GB" w:eastAsia="ja-JP"/>
        </w:rPr>
        <w:fldChar w:fldCharType="separate"/>
      </w:r>
      <w:r w:rsidR="000B407C">
        <w:t xml:space="preserve">Figure </w:t>
      </w:r>
      <w:r w:rsidR="000B407C">
        <w:rPr>
          <w:noProof/>
        </w:rPr>
        <w:t>1</w:t>
      </w:r>
      <w:r w:rsidR="00313C8A">
        <w:rPr>
          <w:lang w:val="en-GB" w:eastAsia="ja-JP"/>
        </w:rPr>
        <w:fldChar w:fldCharType="end"/>
      </w:r>
      <w:r w:rsidR="00313C8A">
        <w:rPr>
          <w:lang w:val="en-GB" w:eastAsia="ja-JP"/>
        </w:rPr>
        <w:t xml:space="preserve">, </w:t>
      </w:r>
      <w:r w:rsidR="00777D7B">
        <w:rPr>
          <w:lang w:val="en-GB" w:eastAsia="ja-JP"/>
        </w:rPr>
        <w:t xml:space="preserve">the </w:t>
      </w:r>
      <w:r w:rsidR="00B953ED">
        <w:rPr>
          <w:lang w:val="en-GB" w:eastAsia="ja-JP"/>
        </w:rPr>
        <w:t>m</w:t>
      </w:r>
      <w:r w:rsidR="00DA504A">
        <w:rPr>
          <w:lang w:val="en-GB" w:eastAsia="ja-JP"/>
        </w:rPr>
        <w:t xml:space="preserve">ean and </w:t>
      </w:r>
      <w:r w:rsidR="00B953ED">
        <w:rPr>
          <w:lang w:val="en-GB" w:eastAsia="ja-JP"/>
        </w:rPr>
        <w:t>cell-</w:t>
      </w:r>
      <w:r w:rsidR="00DA504A">
        <w:rPr>
          <w:lang w:val="en-GB" w:eastAsia="ja-JP"/>
        </w:rPr>
        <w:t>edge</w:t>
      </w:r>
      <w:r w:rsidR="00B953ED">
        <w:rPr>
          <w:lang w:val="en-GB" w:eastAsia="ja-JP"/>
        </w:rPr>
        <w:t xml:space="preserve"> user</w:t>
      </w:r>
      <w:r w:rsidR="00715D8D">
        <w:rPr>
          <w:lang w:val="en-GB" w:eastAsia="ja-JP"/>
        </w:rPr>
        <w:t xml:space="preserve"> throughput is</w:t>
      </w:r>
      <w:r w:rsidR="00981D48">
        <w:rPr>
          <w:lang w:val="en-GB" w:eastAsia="ja-JP"/>
        </w:rPr>
        <w:t xml:space="preserve"> </w:t>
      </w:r>
      <w:r w:rsidR="007C00B0">
        <w:rPr>
          <w:lang w:val="en-GB" w:eastAsia="ja-JP"/>
        </w:rPr>
        <w:t xml:space="preserve">reduced by </w:t>
      </w:r>
      <w:r w:rsidR="00981D48">
        <w:rPr>
          <w:lang w:val="en-GB" w:eastAsia="ja-JP"/>
        </w:rPr>
        <w:t>15.9% and 22.</w:t>
      </w:r>
      <w:r w:rsidR="007C00B0">
        <w:rPr>
          <w:lang w:val="en-GB" w:eastAsia="ja-JP"/>
        </w:rPr>
        <w:t>7%</w:t>
      </w:r>
      <w:r w:rsidR="00CF7205">
        <w:rPr>
          <w:lang w:val="en-GB" w:eastAsia="ja-JP"/>
        </w:rPr>
        <w:t xml:space="preserve"> respectively</w:t>
      </w:r>
      <w:r w:rsidR="007C00B0">
        <w:rPr>
          <w:lang w:val="en-GB" w:eastAsia="ja-JP"/>
        </w:rPr>
        <w:t xml:space="preserve"> </w:t>
      </w:r>
      <w:r w:rsidR="00CF7205">
        <w:rPr>
          <w:lang w:val="en-GB" w:eastAsia="ja-JP"/>
        </w:rPr>
        <w:t>using</w:t>
      </w:r>
      <w:r w:rsidR="00C23BDD">
        <w:rPr>
          <w:lang w:val="en-GB" w:eastAsia="ja-JP"/>
        </w:rPr>
        <w:t xml:space="preserve"> the L3 model compared to the L1/L2 model.</w:t>
      </w:r>
      <w:r w:rsidR="00B6161E">
        <w:rPr>
          <w:lang w:val="en-GB" w:eastAsia="ja-JP"/>
        </w:rPr>
        <w:t xml:space="preserve"> </w:t>
      </w:r>
    </w:p>
    <w:p w14:paraId="594C81C8" w14:textId="7ACE0B28" w:rsidR="007E4140" w:rsidRDefault="00F818B7" w:rsidP="007E4140">
      <w:pPr>
        <w:keepNext/>
      </w:pPr>
      <w:r>
        <w:rPr>
          <w:noProof/>
          <w:lang w:val="en-GB" w:eastAsia="ja-JP"/>
        </w:rPr>
        <w:drawing>
          <wp:inline distT="0" distB="0" distL="0" distR="0" wp14:anchorId="5F110017" wp14:editId="01F3A358">
            <wp:extent cx="6120765" cy="2518410"/>
            <wp:effectExtent l="0" t="0" r="0"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_LI_UT_cdf.png"/>
                    <pic:cNvPicPr/>
                  </pic:nvPicPr>
                  <pic:blipFill rotWithShape="1">
                    <a:blip r:embed="rId11" cstate="print">
                      <a:extLst>
                        <a:ext uri="{28A0092B-C50C-407E-A947-70E740481C1C}">
                          <a14:useLocalDpi xmlns:a14="http://schemas.microsoft.com/office/drawing/2010/main" val="0"/>
                        </a:ext>
                      </a:extLst>
                    </a:blip>
                    <a:srcRect t="3994"/>
                    <a:stretch/>
                  </pic:blipFill>
                  <pic:spPr bwMode="auto">
                    <a:xfrm>
                      <a:off x="0" y="0"/>
                      <a:ext cx="6120765" cy="2518410"/>
                    </a:xfrm>
                    <a:prstGeom prst="rect">
                      <a:avLst/>
                    </a:prstGeom>
                    <a:ln>
                      <a:noFill/>
                    </a:ln>
                    <a:extLst>
                      <a:ext uri="{53640926-AAD7-44D8-BBD7-CCE9431645EC}">
                        <a14:shadowObscured xmlns:a14="http://schemas.microsoft.com/office/drawing/2010/main"/>
                      </a:ext>
                    </a:extLst>
                  </pic:spPr>
                </pic:pic>
              </a:graphicData>
            </a:graphic>
          </wp:inline>
        </w:drawing>
      </w:r>
    </w:p>
    <w:p w14:paraId="73C6D890" w14:textId="25388FF1" w:rsidR="009064C9" w:rsidRPr="00F654EF" w:rsidRDefault="007E4140" w:rsidP="00F654EF">
      <w:pPr>
        <w:pStyle w:val="Caption"/>
        <w:jc w:val="center"/>
      </w:pPr>
      <w:bookmarkStart w:id="21" w:name="_Ref61434424"/>
      <w:r>
        <w:t xml:space="preserve">Figure </w:t>
      </w:r>
      <w:r>
        <w:fldChar w:fldCharType="begin"/>
      </w:r>
      <w:r>
        <w:instrText xml:space="preserve"> SEQ Figure \* ARABIC </w:instrText>
      </w:r>
      <w:r>
        <w:fldChar w:fldCharType="separate"/>
      </w:r>
      <w:r w:rsidR="000B407C">
        <w:rPr>
          <w:noProof/>
        </w:rPr>
        <w:t>1</w:t>
      </w:r>
      <w:r>
        <w:fldChar w:fldCharType="end"/>
      </w:r>
      <w:bookmarkEnd w:id="21"/>
      <w:r w:rsidR="00890EF2">
        <w:t xml:space="preserve"> C.D.F of User Throughput </w:t>
      </w:r>
      <w:r w:rsidR="009064C9">
        <w:t>comparison between the</w:t>
      </w:r>
      <w:r w:rsidR="00890EF2">
        <w:t xml:space="preserve"> L1/L2 </w:t>
      </w:r>
      <w:r w:rsidR="009064C9">
        <w:t xml:space="preserve">and </w:t>
      </w:r>
      <w:r w:rsidR="00890EF2">
        <w:t xml:space="preserve">L3 handover </w:t>
      </w:r>
      <w:r w:rsidR="009064C9">
        <w:t>procedure model</w:t>
      </w:r>
    </w:p>
    <w:p w14:paraId="726EFA4D" w14:textId="1A5581B1" w:rsidR="00E467B8" w:rsidRPr="00E467B8" w:rsidRDefault="00E467B8" w:rsidP="00E467B8">
      <w:pPr>
        <w:pStyle w:val="Heading3"/>
      </w:pPr>
      <w:r>
        <w:t>2.2.2</w:t>
      </w:r>
      <w:r>
        <w:tab/>
      </w:r>
      <w:r w:rsidR="00143D25">
        <w:t>RAN1 c</w:t>
      </w:r>
      <w:r>
        <w:t xml:space="preserve">omponents to support L1/L2-centric </w:t>
      </w:r>
      <w:r w:rsidR="008A6408">
        <w:t xml:space="preserve">inter-cell </w:t>
      </w:r>
      <w:r>
        <w:t>mobility</w:t>
      </w:r>
    </w:p>
    <w:p w14:paraId="24B0E0BC" w14:textId="272A8BD4" w:rsidR="0075641D" w:rsidRPr="0033781A" w:rsidRDefault="0075641D" w:rsidP="0075641D">
      <w:r w:rsidRPr="0033781A">
        <w:t xml:space="preserve">In </w:t>
      </w:r>
      <w:r>
        <w:t>RAN1#10</w:t>
      </w:r>
      <w:r w:rsidR="00D85409">
        <w:t>3</w:t>
      </w:r>
      <w:r>
        <w:t xml:space="preserve">e, the following was </w:t>
      </w:r>
      <w:r w:rsidR="00371809">
        <w:t>agreed</w:t>
      </w:r>
      <w:r>
        <w:t>:</w:t>
      </w:r>
    </w:p>
    <w:p w14:paraId="30AA5581" w14:textId="77777777" w:rsidR="0075641D" w:rsidRPr="00ED3598" w:rsidRDefault="0075641D" w:rsidP="0075641D">
      <w:pPr>
        <w:rPr>
          <w:lang w:eastAsia="ja-JP"/>
        </w:rPr>
      </w:pPr>
      <w:r>
        <w:rPr>
          <w:rFonts w:ascii="Times New Roman" w:hAnsi="Times New Roman" w:cs="Times New Roman"/>
          <w:noProof/>
        </w:rPr>
        <mc:AlternateContent>
          <mc:Choice Requires="wps">
            <w:drawing>
              <wp:inline distT="0" distB="0" distL="0" distR="0" wp14:anchorId="119EFB1A" wp14:editId="35386CE4">
                <wp:extent cx="6381750" cy="356870"/>
                <wp:effectExtent l="0" t="0" r="19050" b="26035"/>
                <wp:docPr id="9" name="Text Box 9"/>
                <wp:cNvGraphicFramePr/>
                <a:graphic xmlns:a="http://schemas.openxmlformats.org/drawingml/2006/main">
                  <a:graphicData uri="http://schemas.microsoft.com/office/word/2010/wordprocessingShape">
                    <wps:wsp>
                      <wps:cNvSpPr txBox="1"/>
                      <wps:spPr>
                        <a:xfrm>
                          <a:off x="0" y="0"/>
                          <a:ext cx="6381750" cy="356870"/>
                        </a:xfrm>
                        <a:prstGeom prst="rect">
                          <a:avLst/>
                        </a:prstGeom>
                        <a:solidFill>
                          <a:schemeClr val="lt1"/>
                        </a:solidFill>
                        <a:ln w="6350">
                          <a:solidFill>
                            <a:prstClr val="black"/>
                          </a:solidFill>
                        </a:ln>
                      </wps:spPr>
                      <wps:txbx>
                        <w:txbxContent>
                          <w:p w14:paraId="724D5AC5" w14:textId="77777777" w:rsidR="00A645FD" w:rsidRPr="00635BF9" w:rsidRDefault="00A645FD" w:rsidP="00D85409">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b/>
                                <w:bCs/>
                                <w:szCs w:val="20"/>
                                <w:highlight w:val="green"/>
                                <w:lang w:val="en-GB"/>
                              </w:rPr>
                              <w:t>Agreement</w:t>
                            </w:r>
                          </w:p>
                          <w:p w14:paraId="1CA01CA6" w14:textId="77777777" w:rsidR="00A645FD" w:rsidRPr="00635BF9" w:rsidRDefault="00A645FD" w:rsidP="00D85409">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 xml:space="preserve">On Rel-17 enhancements to enable L1/L2-centric inter-cell mobility: </w:t>
                            </w:r>
                          </w:p>
                          <w:p w14:paraId="4577C121" w14:textId="77777777" w:rsidR="00A645FD" w:rsidRPr="00635BF9" w:rsidRDefault="00A645FD" w:rsidP="00D85409">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The following use cases are assumed: </w:t>
                            </w:r>
                          </w:p>
                          <w:p w14:paraId="1E38EB01" w14:textId="77777777" w:rsidR="00A645FD" w:rsidRPr="00635BF9" w:rsidRDefault="00A645FD" w:rsidP="00D85409">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Network architecture: </w:t>
                            </w:r>
                          </w:p>
                          <w:p w14:paraId="089C3AF1" w14:textId="77777777" w:rsidR="00A645FD" w:rsidRPr="00635BF9" w:rsidRDefault="00A645FD" w:rsidP="00D8540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NSA, i.e. LTE PCell and NR-PSCell </w:t>
                            </w:r>
                          </w:p>
                          <w:p w14:paraId="6C8DDE27" w14:textId="77777777" w:rsidR="00A645FD" w:rsidRPr="00635BF9" w:rsidRDefault="00A645FD" w:rsidP="00D8540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SA</w:t>
                            </w:r>
                          </w:p>
                          <w:p w14:paraId="19907DA0" w14:textId="77777777" w:rsidR="00A645FD" w:rsidRPr="00635BF9" w:rsidRDefault="00A645FD" w:rsidP="00D85409">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Intra-band CA </w:t>
                            </w:r>
                          </w:p>
                          <w:p w14:paraId="5730158D" w14:textId="77777777" w:rsidR="00A645FD" w:rsidRPr="00635BF9" w:rsidRDefault="00A645FD" w:rsidP="00D8540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If inter-band CA is also included</w:t>
                            </w:r>
                          </w:p>
                          <w:p w14:paraId="6AB7A56D" w14:textId="77777777" w:rsidR="00A645FD" w:rsidRPr="00635BF9" w:rsidRDefault="00A645FD" w:rsidP="00D85409">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Intra- RAT (excluding inter-RAT) </w:t>
                            </w:r>
                          </w:p>
                          <w:p w14:paraId="22523352" w14:textId="77777777" w:rsidR="00A645FD" w:rsidRPr="00635BF9" w:rsidRDefault="00A645FD" w:rsidP="00D85409">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Intra-frequency scenario: </w:t>
                            </w:r>
                          </w:p>
                          <w:p w14:paraId="468799C5" w14:textId="77777777" w:rsidR="00A645FD" w:rsidRPr="00635BF9" w:rsidRDefault="00A645FD" w:rsidP="00D8540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The SSBs of non-serving cells have the same center frequency and SCS as the SSBs of the serving cell</w:t>
                            </w:r>
                          </w:p>
                          <w:p w14:paraId="5B22F142" w14:textId="77777777" w:rsidR="00A645FD" w:rsidRPr="00635BF9" w:rsidRDefault="00A645FD" w:rsidP="00D8540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An SSB of a non-serving cell is associated with a PCI different from the PCI of the serving cell</w:t>
                            </w:r>
                          </w:p>
                          <w:p w14:paraId="668E50E2" w14:textId="77777777" w:rsidR="00A645FD" w:rsidRPr="00635BF9" w:rsidRDefault="00A645FD" w:rsidP="00D8540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Support for inter-frequency scenario</w:t>
                            </w:r>
                          </w:p>
                          <w:p w14:paraId="7CC1DB1E" w14:textId="77777777" w:rsidR="00A645FD" w:rsidRPr="00635BF9" w:rsidRDefault="00A645FD" w:rsidP="00D85409">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to support intra-DU only operation, or whether inter-DU is also allowed</w:t>
                            </w:r>
                          </w:p>
                          <w:p w14:paraId="3400191E" w14:textId="77777777" w:rsidR="00A645FD" w:rsidRPr="00635BF9" w:rsidRDefault="00A645FD" w:rsidP="00D85409">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The following enhancement scope is assumed: </w:t>
                            </w:r>
                          </w:p>
                          <w:p w14:paraId="02D05A43" w14:textId="77777777" w:rsidR="00A645FD" w:rsidRPr="00635BF9" w:rsidRDefault="00A645FD" w:rsidP="00D85409">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Facilitating measurement and reporting of non-serving RSs via incorporating non-serving cell info with some TCI(s), along with the necessary measurement and reporting scheme(s) </w:t>
                            </w:r>
                          </w:p>
                          <w:p w14:paraId="0E235EF6" w14:textId="77777777" w:rsidR="00A645FD" w:rsidRPr="00635BF9" w:rsidRDefault="00A645FD" w:rsidP="00D8540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Detailed/exact method(s)</w:t>
                            </w:r>
                          </w:p>
                          <w:p w14:paraId="7DFEB3B2" w14:textId="77777777" w:rsidR="00A645FD" w:rsidRPr="00635BF9" w:rsidRDefault="00A645FD" w:rsidP="00D8540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this also implies the support of beam indication (TCI state update along with the necessary TCI state activation) for TCI(s) associated with non-serving cell RS(s)</w:t>
                            </w:r>
                          </w:p>
                          <w:p w14:paraId="2F40AA94" w14:textId="77777777" w:rsidR="00A645FD" w:rsidRPr="00635BF9" w:rsidRDefault="00A645FD" w:rsidP="00D8540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Metric for the measurement and reporting, e.g. L1-RSRP or L3-RSRP or time- or spatial-domain-filtered L1-RSRP</w:t>
                            </w:r>
                          </w:p>
                          <w:p w14:paraId="5EDCAD6E" w14:textId="77777777" w:rsidR="00A645FD" w:rsidRPr="00635BF9" w:rsidRDefault="00A645FD" w:rsidP="00D8540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Beam-level event-driven mechanism, using serving cell RS and/or non-serving cell RS</w:t>
                            </w:r>
                          </w:p>
                          <w:p w14:paraId="52F6419B" w14:textId="77777777" w:rsidR="00A645FD" w:rsidRPr="00635BF9" w:rsidRDefault="00A645FD" w:rsidP="00D85409">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Facilitate serving cell to provide configurations for non-serving cell SSBs via RRC </w:t>
                            </w:r>
                          </w:p>
                          <w:p w14:paraId="4C3FBFAF" w14:textId="77777777" w:rsidR="00A645FD" w:rsidRPr="00635BF9" w:rsidRDefault="00A645FD" w:rsidP="00D8540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details for the configurations, e.g. time/frequency location, transmission power, etc.</w:t>
                            </w:r>
                          </w:p>
                          <w:p w14:paraId="44A97763" w14:textId="77777777" w:rsidR="00A645FD" w:rsidRPr="00635BF9" w:rsidRDefault="00A645FD" w:rsidP="00D8540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other information needed for inter-cell mobility</w:t>
                            </w:r>
                          </w:p>
                          <w:p w14:paraId="09BC6D0B" w14:textId="68A0B2CC" w:rsidR="00A645FD" w:rsidRPr="00371809" w:rsidRDefault="00A645FD" w:rsidP="00507940">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Note: In RAN1's understanding, non-serving cell SSB and non-serving cell RS can be part of the serving cell 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rto="http://schemas.microsoft.com/office/word/2006/arto">
            <w:pict>
              <v:shape w14:anchorId="119EFB1A" id="Text Box 9" o:spid="_x0000_s1030" type="#_x0000_t202" style="width:502.5pt;height:2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" fillcolor="white [3201]" strokeweight=".5pt">
                <v:textbox style="mso-fit-shape-to-text:t">
                  <w:txbxContent>
                    <w:p w14:paraId="724D5AC5" w14:textId="77777777" w:rsidR="00A645FD" w:rsidRPr="00635BF9" w:rsidRDefault="00A645FD" w:rsidP="00D85409">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b/>
                          <w:bCs/>
                          <w:szCs w:val="20"/>
                          <w:highlight w:val="green"/>
                          <w:lang w:val="en-GB"/>
                        </w:rPr>
                        <w:t>Agreement</w:t>
                      </w:r>
                    </w:p>
                    <w:p w14:paraId="1CA01CA6" w14:textId="77777777" w:rsidR="00A645FD" w:rsidRPr="00635BF9" w:rsidRDefault="00A645FD" w:rsidP="00D85409">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 xml:space="preserve">On Rel-17 enhancements to enable L1/L2-centric inter-cell mobility: </w:t>
                      </w:r>
                    </w:p>
                    <w:p w14:paraId="4577C121" w14:textId="77777777" w:rsidR="00A645FD" w:rsidRPr="00635BF9" w:rsidRDefault="00A645FD" w:rsidP="00D85409">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The following use cases are assumed: </w:t>
                      </w:r>
                    </w:p>
                    <w:p w14:paraId="1E38EB01" w14:textId="77777777" w:rsidR="00A645FD" w:rsidRPr="00635BF9" w:rsidRDefault="00A645FD" w:rsidP="00D85409">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Network architecture: </w:t>
                      </w:r>
                    </w:p>
                    <w:p w14:paraId="089C3AF1" w14:textId="77777777" w:rsidR="00A645FD" w:rsidRPr="00635BF9" w:rsidRDefault="00A645FD" w:rsidP="00D8540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NSA, i.e. LTE PCell and NR-PSCell </w:t>
                      </w:r>
                    </w:p>
                    <w:p w14:paraId="6C8DDE27" w14:textId="77777777" w:rsidR="00A645FD" w:rsidRPr="00635BF9" w:rsidRDefault="00A645FD" w:rsidP="00D8540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SA</w:t>
                      </w:r>
                    </w:p>
                    <w:p w14:paraId="19907DA0" w14:textId="77777777" w:rsidR="00A645FD" w:rsidRPr="00635BF9" w:rsidRDefault="00A645FD" w:rsidP="00D85409">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Intra-band CA </w:t>
                      </w:r>
                    </w:p>
                    <w:p w14:paraId="5730158D" w14:textId="77777777" w:rsidR="00A645FD" w:rsidRPr="00635BF9" w:rsidRDefault="00A645FD" w:rsidP="00D8540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If inter-band CA is also included</w:t>
                      </w:r>
                    </w:p>
                    <w:p w14:paraId="6AB7A56D" w14:textId="77777777" w:rsidR="00A645FD" w:rsidRPr="00635BF9" w:rsidRDefault="00A645FD" w:rsidP="00D85409">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Intra- RAT (excluding inter-RAT) </w:t>
                      </w:r>
                    </w:p>
                    <w:p w14:paraId="22523352" w14:textId="77777777" w:rsidR="00A645FD" w:rsidRPr="00635BF9" w:rsidRDefault="00A645FD" w:rsidP="00D85409">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Intra-frequency scenario: </w:t>
                      </w:r>
                    </w:p>
                    <w:p w14:paraId="468799C5" w14:textId="77777777" w:rsidR="00A645FD" w:rsidRPr="00635BF9" w:rsidRDefault="00A645FD" w:rsidP="00D8540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The SSBs of non-serving cells have the same center frequency and SCS as the SSBs of the serving cell</w:t>
                      </w:r>
                    </w:p>
                    <w:p w14:paraId="5B22F142" w14:textId="77777777" w:rsidR="00A645FD" w:rsidRPr="00635BF9" w:rsidRDefault="00A645FD" w:rsidP="00D8540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An SSB of a non-serving cell is associated with a PCI different from the PCI of the serving cell</w:t>
                      </w:r>
                    </w:p>
                    <w:p w14:paraId="668E50E2" w14:textId="77777777" w:rsidR="00A645FD" w:rsidRPr="00635BF9" w:rsidRDefault="00A645FD" w:rsidP="00D8540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Support for inter-frequency scenario</w:t>
                      </w:r>
                    </w:p>
                    <w:p w14:paraId="7CC1DB1E" w14:textId="77777777" w:rsidR="00A645FD" w:rsidRPr="00635BF9" w:rsidRDefault="00A645FD" w:rsidP="00D85409">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to support intra-DU only operation, or whether inter-DU is also allowed</w:t>
                      </w:r>
                    </w:p>
                    <w:p w14:paraId="3400191E" w14:textId="77777777" w:rsidR="00A645FD" w:rsidRPr="00635BF9" w:rsidRDefault="00A645FD" w:rsidP="00D85409">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The following enhancement scope is assumed: </w:t>
                      </w:r>
                    </w:p>
                    <w:p w14:paraId="02D05A43" w14:textId="77777777" w:rsidR="00A645FD" w:rsidRPr="00635BF9" w:rsidRDefault="00A645FD" w:rsidP="00D85409">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Facilitating measurement and reporting of non-serving RSs via incorporating non-serving cell info with some TCI(s), along with the necessary measurement and reporting scheme(s) </w:t>
                      </w:r>
                    </w:p>
                    <w:p w14:paraId="0E235EF6" w14:textId="77777777" w:rsidR="00A645FD" w:rsidRPr="00635BF9" w:rsidRDefault="00A645FD" w:rsidP="00D8540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Detailed/exact method(s)</w:t>
                      </w:r>
                    </w:p>
                    <w:p w14:paraId="7DFEB3B2" w14:textId="77777777" w:rsidR="00A645FD" w:rsidRPr="00635BF9" w:rsidRDefault="00A645FD" w:rsidP="00D8540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this also implies the support of beam indication (TCI state update along with the necessary TCI state activation) for TCI(s) associated with non-serving cell RS(s)</w:t>
                      </w:r>
                    </w:p>
                    <w:p w14:paraId="2F40AA94" w14:textId="77777777" w:rsidR="00A645FD" w:rsidRPr="00635BF9" w:rsidRDefault="00A645FD" w:rsidP="00D8540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Metric for the measurement and reporting, e.g. L1-RSRP or L3-RSRP or time- or spatial-domain-filtered L1-RSRP</w:t>
                      </w:r>
                    </w:p>
                    <w:p w14:paraId="5EDCAD6E" w14:textId="77777777" w:rsidR="00A645FD" w:rsidRPr="00635BF9" w:rsidRDefault="00A645FD" w:rsidP="00D8540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Beam-level event-driven mechanism, using serving cell RS and/or non-serving cell RS</w:t>
                      </w:r>
                    </w:p>
                    <w:p w14:paraId="52F6419B" w14:textId="77777777" w:rsidR="00A645FD" w:rsidRPr="00635BF9" w:rsidRDefault="00A645FD" w:rsidP="00D85409">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Facilitate serving cell to provide configurations for non-serving cell SSBs via RRC </w:t>
                      </w:r>
                    </w:p>
                    <w:p w14:paraId="4C3FBFAF" w14:textId="77777777" w:rsidR="00A645FD" w:rsidRPr="00635BF9" w:rsidRDefault="00A645FD" w:rsidP="00D8540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details for the configurations, e.g. time/frequency location, transmission power, etc.</w:t>
                      </w:r>
                    </w:p>
                    <w:p w14:paraId="44A97763" w14:textId="77777777" w:rsidR="00A645FD" w:rsidRPr="00635BF9" w:rsidRDefault="00A645FD" w:rsidP="00D85409">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other information needed for inter-cell mobility</w:t>
                      </w:r>
                    </w:p>
                    <w:p w14:paraId="09BC6D0B" w14:textId="68A0B2CC" w:rsidR="00A645FD" w:rsidRPr="00371809" w:rsidRDefault="00A645FD" w:rsidP="00507940">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Note: In RAN1's understanding, non-serving cell SSB and non-serving cell RS can be part of the serving cell configuration</w:t>
                      </w:r>
                    </w:p>
                  </w:txbxContent>
                </v:textbox>
                <w10:anchorlock/>
              </v:shape>
            </w:pict>
          </mc:Fallback>
        </mc:AlternateContent>
      </w:r>
    </w:p>
    <w:p w14:paraId="1E3530C6" w14:textId="53F4BFCF" w:rsidR="002E7ADA" w:rsidRDefault="00371809" w:rsidP="0075641D">
      <w:r>
        <w:t xml:space="preserve">In the agreement, it is stated that Rel-17 should incorporate non-serving cell info with some TCI(s) to facilitate measurement and reporting. </w:t>
      </w:r>
      <w:r w:rsidR="002E7ADA">
        <w:t>The next step is to decide</w:t>
      </w:r>
    </w:p>
    <w:p w14:paraId="6F6F4961" w14:textId="590EB2AF" w:rsidR="002E7ADA" w:rsidRPr="002E7ADA" w:rsidRDefault="002E7ADA" w:rsidP="002E7ADA">
      <w:pPr>
        <w:pStyle w:val="ListParagraph"/>
        <w:numPr>
          <w:ilvl w:val="0"/>
          <w:numId w:val="16"/>
        </w:numPr>
        <w:rPr>
          <w:rFonts w:ascii="Arial" w:hAnsi="Arial" w:cs="Arial"/>
          <w:sz w:val="20"/>
          <w:szCs w:val="20"/>
        </w:rPr>
      </w:pPr>
      <w:r w:rsidRPr="002E7ADA">
        <w:rPr>
          <w:rFonts w:ascii="Arial" w:hAnsi="Arial" w:cs="Arial"/>
          <w:sz w:val="20"/>
          <w:szCs w:val="20"/>
          <w:lang w:val="en-US"/>
        </w:rPr>
        <w:t>What non-serving cell info should be incorporated?</w:t>
      </w:r>
    </w:p>
    <w:p w14:paraId="42C19DDC" w14:textId="5759A3AC" w:rsidR="002E7ADA" w:rsidRPr="005A769C" w:rsidRDefault="002E7ADA" w:rsidP="002E7ADA">
      <w:pPr>
        <w:pStyle w:val="ListParagraph"/>
        <w:numPr>
          <w:ilvl w:val="0"/>
          <w:numId w:val="16"/>
        </w:numPr>
        <w:rPr>
          <w:rFonts w:ascii="Arial" w:hAnsi="Arial" w:cs="Arial"/>
          <w:sz w:val="20"/>
          <w:szCs w:val="20"/>
        </w:rPr>
      </w:pPr>
      <w:r w:rsidRPr="002E7ADA">
        <w:rPr>
          <w:rFonts w:ascii="Arial" w:hAnsi="Arial" w:cs="Arial"/>
          <w:sz w:val="20"/>
          <w:szCs w:val="20"/>
          <w:lang w:val="en-US"/>
        </w:rPr>
        <w:t>How should it be incorporated?</w:t>
      </w:r>
    </w:p>
    <w:p w14:paraId="7C7D49C3" w14:textId="36B4C5FD" w:rsidR="002E7ADA" w:rsidRDefault="00371809" w:rsidP="0075641D">
      <w:r>
        <w:t>Non-serving cell info includes at least PCI – this is what the UE uses to identify a non-serving cell.</w:t>
      </w:r>
      <w:r w:rsidR="002E7ADA">
        <w:t xml:space="preserve"> Hence, we propose</w:t>
      </w:r>
    </w:p>
    <w:p w14:paraId="08E47159" w14:textId="2CE69A24" w:rsidR="00371809" w:rsidRDefault="002E7ADA" w:rsidP="002E7ADA">
      <w:pPr>
        <w:pStyle w:val="Proposal"/>
      </w:pPr>
      <w:bookmarkStart w:id="22" w:name="_Toc61889362"/>
      <w:r>
        <w:t>Non-serving cell information includes PCI of the non-serving cell.</w:t>
      </w:r>
      <w:bookmarkEnd w:id="22"/>
    </w:p>
    <w:p w14:paraId="6799FCC5" w14:textId="40E1E7D8" w:rsidR="005A769C" w:rsidRDefault="002E7ADA" w:rsidP="0075641D">
      <w:r>
        <w:t xml:space="preserve">Additional non-serving cell information would help the UE to find the SSBs where the non-serving PCI is included. </w:t>
      </w:r>
      <w:r w:rsidR="005A769C">
        <w:t xml:space="preserve">Examples of such information could be the quantities in the RRC IE </w:t>
      </w:r>
      <w:r w:rsidR="005A769C" w:rsidRPr="005A769C">
        <w:rPr>
          <w:i/>
          <w:iCs/>
        </w:rPr>
        <w:t>SSB-Configuration-r16</w:t>
      </w:r>
      <w:r w:rsidR="005A769C">
        <w:t>:</w:t>
      </w:r>
    </w:p>
    <w:p w14:paraId="156C163F" w14:textId="4D8A764F" w:rsidR="005A769C" w:rsidRPr="005A769C" w:rsidRDefault="005A769C" w:rsidP="005A769C">
      <w:pPr>
        <w:pStyle w:val="ListParagraph"/>
        <w:numPr>
          <w:ilvl w:val="0"/>
          <w:numId w:val="41"/>
        </w:numPr>
        <w:rPr>
          <w:rFonts w:ascii="Arial" w:hAnsi="Arial" w:cs="Arial"/>
          <w:sz w:val="20"/>
          <w:szCs w:val="20"/>
        </w:rPr>
      </w:pPr>
      <w:r w:rsidRPr="005A769C">
        <w:rPr>
          <w:rFonts w:ascii="Arial" w:hAnsi="Arial" w:cs="Arial"/>
          <w:sz w:val="20"/>
          <w:szCs w:val="20"/>
        </w:rPr>
        <w:t xml:space="preserve">ssb-Freq-r16  </w:t>
      </w:r>
    </w:p>
    <w:p w14:paraId="6E9E304C" w14:textId="37C3E824" w:rsidR="005A769C" w:rsidRPr="005A769C" w:rsidRDefault="005A769C" w:rsidP="005A769C">
      <w:pPr>
        <w:pStyle w:val="ListParagraph"/>
        <w:numPr>
          <w:ilvl w:val="0"/>
          <w:numId w:val="41"/>
        </w:numPr>
        <w:rPr>
          <w:rFonts w:ascii="Arial" w:hAnsi="Arial" w:cs="Arial"/>
          <w:sz w:val="20"/>
          <w:szCs w:val="20"/>
        </w:rPr>
      </w:pPr>
      <w:r w:rsidRPr="005A769C">
        <w:rPr>
          <w:rFonts w:ascii="Arial" w:hAnsi="Arial" w:cs="Arial"/>
          <w:sz w:val="20"/>
          <w:szCs w:val="20"/>
        </w:rPr>
        <w:t xml:space="preserve">halfFrameIndex-r16              </w:t>
      </w:r>
    </w:p>
    <w:p w14:paraId="45AFC367" w14:textId="51CC1A43" w:rsidR="005A769C" w:rsidRPr="005A769C" w:rsidRDefault="005A769C" w:rsidP="005A769C">
      <w:pPr>
        <w:pStyle w:val="ListParagraph"/>
        <w:numPr>
          <w:ilvl w:val="0"/>
          <w:numId w:val="41"/>
        </w:numPr>
        <w:rPr>
          <w:rFonts w:ascii="Arial" w:hAnsi="Arial" w:cs="Arial"/>
          <w:sz w:val="20"/>
          <w:szCs w:val="20"/>
        </w:rPr>
      </w:pPr>
      <w:r w:rsidRPr="005A769C">
        <w:rPr>
          <w:rFonts w:ascii="Arial" w:hAnsi="Arial" w:cs="Arial"/>
          <w:sz w:val="20"/>
          <w:szCs w:val="20"/>
        </w:rPr>
        <w:t xml:space="preserve">ssbSubcarrierSpacing-r16        </w:t>
      </w:r>
    </w:p>
    <w:p w14:paraId="02E82090" w14:textId="4614F73C" w:rsidR="005A769C" w:rsidRPr="005A769C" w:rsidRDefault="005A769C" w:rsidP="005A769C">
      <w:pPr>
        <w:pStyle w:val="ListParagraph"/>
        <w:numPr>
          <w:ilvl w:val="0"/>
          <w:numId w:val="41"/>
        </w:numPr>
        <w:rPr>
          <w:rFonts w:ascii="Arial" w:hAnsi="Arial" w:cs="Arial"/>
          <w:sz w:val="20"/>
          <w:szCs w:val="20"/>
        </w:rPr>
      </w:pPr>
      <w:r w:rsidRPr="005A769C">
        <w:rPr>
          <w:rFonts w:ascii="Arial" w:hAnsi="Arial" w:cs="Arial"/>
          <w:sz w:val="20"/>
          <w:szCs w:val="20"/>
        </w:rPr>
        <w:t xml:space="preserve">ssb-Periodicity-r16                 </w:t>
      </w:r>
    </w:p>
    <w:p w14:paraId="5C07085A" w14:textId="208A84A0" w:rsidR="005A769C" w:rsidRPr="005A769C" w:rsidRDefault="005A769C" w:rsidP="005A769C">
      <w:pPr>
        <w:pStyle w:val="ListParagraph"/>
        <w:numPr>
          <w:ilvl w:val="0"/>
          <w:numId w:val="41"/>
        </w:numPr>
        <w:rPr>
          <w:rFonts w:ascii="Arial" w:hAnsi="Arial" w:cs="Arial"/>
          <w:sz w:val="20"/>
          <w:szCs w:val="20"/>
        </w:rPr>
      </w:pPr>
      <w:r w:rsidRPr="005A769C">
        <w:rPr>
          <w:rFonts w:ascii="Arial" w:hAnsi="Arial" w:cs="Arial"/>
          <w:sz w:val="20"/>
          <w:szCs w:val="20"/>
        </w:rPr>
        <w:t xml:space="preserve">sfn0-Offset-r16                     </w:t>
      </w:r>
    </w:p>
    <w:p w14:paraId="14D85252" w14:textId="39B80287" w:rsidR="005A769C" w:rsidRPr="005A769C" w:rsidRDefault="005A769C" w:rsidP="005A769C">
      <w:pPr>
        <w:pStyle w:val="ListParagraph"/>
        <w:numPr>
          <w:ilvl w:val="0"/>
          <w:numId w:val="41"/>
        </w:numPr>
        <w:rPr>
          <w:rFonts w:ascii="Arial" w:hAnsi="Arial" w:cs="Arial"/>
          <w:sz w:val="20"/>
          <w:szCs w:val="20"/>
          <w:lang w:val="sv-SE"/>
        </w:rPr>
      </w:pPr>
      <w:r w:rsidRPr="005A769C">
        <w:rPr>
          <w:rFonts w:ascii="Arial" w:hAnsi="Arial" w:cs="Arial"/>
          <w:sz w:val="20"/>
          <w:szCs w:val="20"/>
          <w:lang w:val="sv-SE"/>
        </w:rPr>
        <w:t xml:space="preserve">sfn-SSB-Offset-r16                  </w:t>
      </w:r>
    </w:p>
    <w:p w14:paraId="7F739D2E" w14:textId="3BC86EAE" w:rsidR="005A769C" w:rsidRPr="005A769C" w:rsidRDefault="005A769C" w:rsidP="005A769C">
      <w:pPr>
        <w:pStyle w:val="ListParagraph"/>
        <w:numPr>
          <w:ilvl w:val="0"/>
          <w:numId w:val="41"/>
        </w:numPr>
        <w:rPr>
          <w:rFonts w:ascii="Arial" w:hAnsi="Arial" w:cs="Arial"/>
          <w:sz w:val="20"/>
          <w:szCs w:val="20"/>
        </w:rPr>
      </w:pPr>
      <w:r w:rsidRPr="005A769C">
        <w:rPr>
          <w:rFonts w:ascii="Arial" w:hAnsi="Arial" w:cs="Arial"/>
          <w:sz w:val="20"/>
          <w:szCs w:val="20"/>
        </w:rPr>
        <w:t xml:space="preserve">ss-PBCH-BlockPower-r16              </w:t>
      </w:r>
    </w:p>
    <w:p w14:paraId="58647E1E" w14:textId="34A673B4" w:rsidR="005A769C" w:rsidRDefault="005A769C" w:rsidP="005A769C">
      <w:r>
        <w:t xml:space="preserve">Of these quantities, we realize that the SSB frequency and SSB SCS are only required if we consider inter-frequency, and so far, only intra-frequency is agreed. </w:t>
      </w:r>
      <w:r w:rsidR="00E839D5">
        <w:t xml:space="preserve">The half-frame index, and SFN offsets are needed to that the UE can find the frame boundary, and this is not needed in this case. The SSB power is only needed when the SSB is used as a pathloss reference RS – not when performing measurements. The only additional quantity that may be relevant is </w:t>
      </w:r>
      <w:r w:rsidR="00213210">
        <w:t xml:space="preserve">the SSB periodicity. </w:t>
      </w:r>
      <w:r w:rsidR="00877750">
        <w:t>This information on the SSB periodicity c</w:t>
      </w:r>
      <w:r w:rsidR="004251B9">
        <w:t>ould</w:t>
      </w:r>
      <w:r w:rsidR="00877750">
        <w:t xml:space="preserve"> be used in conjunction with </w:t>
      </w:r>
      <w:r w:rsidR="004251B9">
        <w:t xml:space="preserve">information about which SSBs are transmitted </w:t>
      </w:r>
      <w:r w:rsidR="00A6625B">
        <w:t>(</w:t>
      </w:r>
      <w:r w:rsidR="00A6625B" w:rsidRPr="00A6625B">
        <w:t>ssb-PositionsInBurst</w:t>
      </w:r>
      <w:r w:rsidR="004251B9">
        <w:t>)</w:t>
      </w:r>
      <w:r w:rsidR="00A6625B">
        <w:t xml:space="preserve">. However, it is not clear if the additional </w:t>
      </w:r>
      <w:r w:rsidR="00E25FAC">
        <w:t>signaling</w:t>
      </w:r>
      <w:r w:rsidR="00A6625B">
        <w:t xml:space="preserve"> overhead is motivated:</w:t>
      </w:r>
    </w:p>
    <w:p w14:paraId="733EEF34" w14:textId="0F29C113" w:rsidR="005A769C" w:rsidRDefault="00A6625B" w:rsidP="004871C7">
      <w:pPr>
        <w:pStyle w:val="Proposal"/>
      </w:pPr>
      <w:bookmarkStart w:id="23" w:name="_Toc61889363"/>
      <w:r>
        <w:t>Further consider if SSB periodicity and/or ssb-PositionsInBurst should be included in the non-serving cell information that is incorporated in the TCI state.</w:t>
      </w:r>
      <w:bookmarkEnd w:id="23"/>
    </w:p>
    <w:p w14:paraId="559DA0B3" w14:textId="0B7462D6" w:rsidR="00371809" w:rsidRDefault="00A6625B" w:rsidP="0075641D">
      <w:r>
        <w:t>The most straightforward way to incorporate the non-serving cell information in the TCI state would seem to be to introduce a new field in the TCI state. But this decision should be left to RAN2:</w:t>
      </w:r>
    </w:p>
    <w:p w14:paraId="0B0065D1" w14:textId="0384DA5F" w:rsidR="00A6625B" w:rsidRDefault="00A6625B" w:rsidP="00A6625B">
      <w:pPr>
        <w:pStyle w:val="Proposal"/>
      </w:pPr>
      <w:bookmarkStart w:id="24" w:name="_Toc61889364"/>
      <w:r>
        <w:t>How to incorporate the non-serving cell information in a TCI state is left to RAN2.</w:t>
      </w:r>
      <w:bookmarkEnd w:id="24"/>
    </w:p>
    <w:p w14:paraId="5474FF24" w14:textId="1CD1B5B7" w:rsidR="00371809" w:rsidRDefault="00E25FAC" w:rsidP="0075641D">
      <w:r>
        <w:t>In the agreement, it was also stated that the serving cell can provide configurations for non-serving cell SSBs via RRC, and there was an FFS on the details of the configuration details.</w:t>
      </w:r>
      <w:r w:rsidR="006572AF">
        <w:t xml:space="preserve"> U</w:t>
      </w:r>
      <w:r w:rsidR="00D50720">
        <w:t>sing the same reasoning as above, we propose</w:t>
      </w:r>
    </w:p>
    <w:p w14:paraId="4DE134BD" w14:textId="74430893" w:rsidR="00D50720" w:rsidRDefault="00D50720" w:rsidP="00D50720">
      <w:pPr>
        <w:pStyle w:val="Proposal"/>
      </w:pPr>
      <w:bookmarkStart w:id="25" w:name="_Toc61889365"/>
      <w:r>
        <w:t xml:space="preserve">The configuration details for a non-serving </w:t>
      </w:r>
      <w:r w:rsidR="006572AF">
        <w:t xml:space="preserve">cell </w:t>
      </w:r>
      <w:r>
        <w:t>SSB includes PCI.</w:t>
      </w:r>
      <w:bookmarkEnd w:id="25"/>
    </w:p>
    <w:p w14:paraId="214CD18A" w14:textId="31AE4D7B" w:rsidR="00D50720" w:rsidRDefault="00D50720" w:rsidP="00D50720">
      <w:pPr>
        <w:pStyle w:val="Proposal"/>
      </w:pPr>
      <w:bookmarkStart w:id="26" w:name="_Toc61889366"/>
      <w:r>
        <w:t>Further consider if SSB periodicity and/or ssb-PositionsInBurst are part of the non-serving cell SSB configuration.</w:t>
      </w:r>
      <w:bookmarkEnd w:id="26"/>
    </w:p>
    <w:p w14:paraId="2E155265" w14:textId="20974CCA" w:rsidR="00D50720" w:rsidRDefault="00D50720" w:rsidP="0075641D">
      <w:r>
        <w:t xml:space="preserve">If inter-frequency scenarios are supported, there is a need to also consider </w:t>
      </w:r>
      <w:r w:rsidR="006572AF">
        <w:t xml:space="preserve">the </w:t>
      </w:r>
      <w:r>
        <w:t xml:space="preserve">SSB frequency and the SSB subcarrier spacing. </w:t>
      </w:r>
    </w:p>
    <w:p w14:paraId="59972876" w14:textId="24EDE825" w:rsidR="00143D25" w:rsidRDefault="003232DA" w:rsidP="0075641D">
      <w:r>
        <w:t xml:space="preserve">The agreement talks about measurements on non-serving RSs, whereas there is an FFS for beam indication. In our interpretation, </w:t>
      </w:r>
      <w:r w:rsidRPr="003232DA">
        <w:t>beam indication for TCI(s) associated with non-serving cell RS(s)</w:t>
      </w:r>
      <w:r>
        <w:t xml:space="preserve"> would imply that a TCI state with non-serving RS could serve as a QCL source for PDCCH DMRS and PDSCH DMRS</w:t>
      </w:r>
      <w:r w:rsidR="0053730E">
        <w:t>, and to determine the spatial Tx filter for PUSCH, PUCCH and SRS</w:t>
      </w:r>
      <w:r>
        <w:t xml:space="preserve">. This </w:t>
      </w:r>
      <w:r w:rsidR="00E467B8">
        <w:t xml:space="preserve">beam indication </w:t>
      </w:r>
      <w:r>
        <w:t xml:space="preserve">is actually the corner stone of the </w:t>
      </w:r>
      <w:r w:rsidR="00E467B8">
        <w:t xml:space="preserve">improving the support of serving UEs that move across larger areas. The reduction of the interrupt, as well as the possibilities for more advanced measurement filtering (e.g., machine learning) will lead to improved user experience, as illustrated in </w:t>
      </w:r>
      <w:r w:rsidR="008F366B">
        <w:t>subsection 2.2.1.</w:t>
      </w:r>
      <w:r w:rsidR="00143D25">
        <w:t xml:space="preserve"> Thus, we propose</w:t>
      </w:r>
    </w:p>
    <w:p w14:paraId="52D5F629" w14:textId="5C4C74A7" w:rsidR="0053730E" w:rsidRPr="0053730E" w:rsidRDefault="00143D25" w:rsidP="00D50720">
      <w:pPr>
        <w:pStyle w:val="Proposal"/>
      </w:pPr>
      <w:bookmarkStart w:id="27" w:name="_Ref61422737"/>
      <w:bookmarkStart w:id="28" w:name="_Toc61889367"/>
      <w:r>
        <w:t>S</w:t>
      </w:r>
      <w:r w:rsidRPr="00143D25">
        <w:t>upport beam indication for TCI(s) associated with non-serving cell RS(s)</w:t>
      </w:r>
      <w:r>
        <w:t xml:space="preserve">, i.e., </w:t>
      </w:r>
      <w:r w:rsidR="0053730E">
        <w:t>allow a</w:t>
      </w:r>
      <w:r>
        <w:t xml:space="preserve"> TCI</w:t>
      </w:r>
      <w:r w:rsidR="00E467B8">
        <w:t xml:space="preserve"> </w:t>
      </w:r>
      <w:r w:rsidR="0053730E">
        <w:t xml:space="preserve">state </w:t>
      </w:r>
      <w:r>
        <w:t>associated with a non-serving RS to act as a QCL source for PDCCH DMRS and PDSCH DMRS</w:t>
      </w:r>
      <w:r w:rsidR="0053730E">
        <w:t>, and as a reference to determine the spatial Tx filter for PUSCH, PUCCH and SRS</w:t>
      </w:r>
      <w:r>
        <w:t>.</w:t>
      </w:r>
      <w:bookmarkEnd w:id="27"/>
      <w:bookmarkEnd w:id="28"/>
      <w:r w:rsidR="00E467B8">
        <w:t xml:space="preserve"> </w:t>
      </w:r>
    </w:p>
    <w:p w14:paraId="0DA55734" w14:textId="52BC63A7" w:rsidR="0053730E" w:rsidRDefault="0053730E" w:rsidP="00D50720">
      <w:pPr>
        <w:rPr>
          <w:lang w:val="en-GB" w:eastAsia="ja-JP"/>
        </w:rPr>
      </w:pPr>
      <w:r>
        <w:rPr>
          <w:lang w:val="en-GB" w:eastAsia="ja-JP"/>
        </w:rPr>
        <w:t xml:space="preserve">Note that also in </w:t>
      </w:r>
      <w:r>
        <w:rPr>
          <w:lang w:val="en-GB" w:eastAsia="ja-JP"/>
        </w:rPr>
        <w:fldChar w:fldCharType="begin"/>
      </w:r>
      <w:r>
        <w:rPr>
          <w:lang w:val="en-GB" w:eastAsia="ja-JP"/>
        </w:rPr>
        <w:instrText xml:space="preserve"> REF _Ref61422737 \r \h </w:instrText>
      </w:r>
      <w:r>
        <w:rPr>
          <w:lang w:val="en-GB" w:eastAsia="ja-JP"/>
        </w:rPr>
      </w:r>
      <w:r>
        <w:rPr>
          <w:lang w:val="en-GB" w:eastAsia="ja-JP"/>
        </w:rPr>
        <w:fldChar w:fldCharType="separate"/>
      </w:r>
      <w:r w:rsidR="00C66BD9">
        <w:rPr>
          <w:lang w:val="en-GB" w:eastAsia="ja-JP"/>
        </w:rPr>
        <w:t>Proposal 18</w:t>
      </w:r>
      <w:r>
        <w:rPr>
          <w:lang w:val="en-GB" w:eastAsia="ja-JP"/>
        </w:rPr>
        <w:fldChar w:fldCharType="end"/>
      </w:r>
      <w:r>
        <w:rPr>
          <w:lang w:val="en-GB" w:eastAsia="ja-JP"/>
        </w:rPr>
        <w:t>, we only remove the somewhat artificial restriction on that beam management procedures can only be applied among TRPs broadcasting the same PCI.</w:t>
      </w:r>
    </w:p>
    <w:p w14:paraId="2A229C27" w14:textId="7C240A20" w:rsidR="00D50720" w:rsidRDefault="00D50720" w:rsidP="00D50720">
      <w:pPr>
        <w:rPr>
          <w:lang w:val="en-GB" w:eastAsia="ja-JP"/>
        </w:rPr>
      </w:pPr>
      <w:r>
        <w:rPr>
          <w:lang w:val="en-GB" w:eastAsia="ja-JP"/>
        </w:rPr>
        <w:t xml:space="preserve">The UE receives SSB without any support from the NW. Incorporating </w:t>
      </w:r>
      <w:r w:rsidR="006572AF">
        <w:rPr>
          <w:lang w:val="en-GB" w:eastAsia="ja-JP"/>
        </w:rPr>
        <w:t>non-serving cell information</w:t>
      </w:r>
      <w:r>
        <w:rPr>
          <w:lang w:val="en-GB" w:eastAsia="ja-JP"/>
        </w:rPr>
        <w:t xml:space="preserve"> in a TCI state </w:t>
      </w:r>
      <w:r w:rsidR="006572AF">
        <w:rPr>
          <w:lang w:val="en-GB" w:eastAsia="ja-JP"/>
        </w:rPr>
        <w:t xml:space="preserve">according to the agreement </w:t>
      </w:r>
      <w:r>
        <w:rPr>
          <w:lang w:val="en-GB" w:eastAsia="ja-JP"/>
        </w:rPr>
        <w:t>does not lead to that the UE can report L1-RSRP or L1-SINR for a</w:t>
      </w:r>
      <w:r w:rsidR="006572AF">
        <w:rPr>
          <w:lang w:val="en-GB" w:eastAsia="ja-JP"/>
        </w:rPr>
        <w:t xml:space="preserve"> non-serving</w:t>
      </w:r>
      <w:r>
        <w:rPr>
          <w:lang w:val="en-GB" w:eastAsia="ja-JP"/>
        </w:rPr>
        <w:t xml:space="preserve"> </w:t>
      </w:r>
      <w:r w:rsidR="006572AF">
        <w:rPr>
          <w:lang w:val="en-GB" w:eastAsia="ja-JP"/>
        </w:rPr>
        <w:t xml:space="preserve">cell </w:t>
      </w:r>
      <w:r>
        <w:rPr>
          <w:lang w:val="en-GB" w:eastAsia="ja-JP"/>
        </w:rPr>
        <w:t xml:space="preserve">SSB: even if </w:t>
      </w:r>
      <w:r w:rsidR="006572AF">
        <w:rPr>
          <w:lang w:val="en-GB" w:eastAsia="ja-JP"/>
        </w:rPr>
        <w:t xml:space="preserve">non-serving cell information </w:t>
      </w:r>
      <w:r>
        <w:rPr>
          <w:lang w:val="en-GB" w:eastAsia="ja-JP"/>
        </w:rPr>
        <w:t xml:space="preserve">is included in a TCI state, the UE would report L1-RSRP or L1-SINR for the SSB of the serving cell. To facilitate measurements on </w:t>
      </w:r>
      <w:r w:rsidR="006572AF">
        <w:rPr>
          <w:lang w:val="en-GB" w:eastAsia="ja-JP"/>
        </w:rPr>
        <w:t xml:space="preserve">a non-serving </w:t>
      </w:r>
      <w:r w:rsidR="003232DA">
        <w:rPr>
          <w:lang w:val="en-GB" w:eastAsia="ja-JP"/>
        </w:rPr>
        <w:t xml:space="preserve">cell </w:t>
      </w:r>
      <w:r>
        <w:rPr>
          <w:lang w:val="en-GB" w:eastAsia="ja-JP"/>
        </w:rPr>
        <w:t>SSBs, th</w:t>
      </w:r>
      <w:r w:rsidR="003232DA">
        <w:rPr>
          <w:lang w:val="en-GB" w:eastAsia="ja-JP"/>
        </w:rPr>
        <w:t>e non-serving cell SSB configuration</w:t>
      </w:r>
      <w:r>
        <w:rPr>
          <w:lang w:val="en-GB" w:eastAsia="ja-JP"/>
        </w:rPr>
        <w:t xml:space="preserve"> would have to be added in the measurement configuration.</w:t>
      </w:r>
    </w:p>
    <w:p w14:paraId="0CCD3CBE" w14:textId="77777777" w:rsidR="00D50720" w:rsidRPr="00240E36" w:rsidRDefault="00D50720" w:rsidP="00D50720">
      <w:pPr>
        <w:pStyle w:val="BodyText"/>
      </w:pPr>
      <w:r w:rsidRPr="00240E36">
        <w:t xml:space="preserve">The NW configures the UE to perform measurements on SSBs by using the RRC IE </w:t>
      </w:r>
      <w:r w:rsidRPr="00240E36">
        <w:rPr>
          <w:i/>
        </w:rPr>
        <w:t>CSI-SSB-ResourceSet</w:t>
      </w:r>
      <w:r w:rsidRPr="00240E36">
        <w:t xml:space="preserve">. In Rel-16, an </w:t>
      </w:r>
      <w:r w:rsidRPr="00240E36">
        <w:rPr>
          <w:i/>
        </w:rPr>
        <w:t>CSI-SSB-ResourceSet</w:t>
      </w:r>
      <w:r w:rsidRPr="00240E36">
        <w:t xml:space="preserve"> contains a list of SSB indices, implicitly pointing to the current serving cell. The </w:t>
      </w:r>
      <w:r w:rsidRPr="00240E36">
        <w:rPr>
          <w:i/>
        </w:rPr>
        <w:t xml:space="preserve">CSI-SSB-ResourceSet </w:t>
      </w:r>
      <w:r w:rsidRPr="00240E36">
        <w:t xml:space="preserve">is then referenced from the </w:t>
      </w:r>
      <w:r w:rsidRPr="00240E36">
        <w:rPr>
          <w:i/>
        </w:rPr>
        <w:t xml:space="preserve">CSI-AssociatedReportConfigInfo </w:t>
      </w:r>
      <w:r w:rsidRPr="00240E36">
        <w:t xml:space="preserve">(for aperiodic reporting) or from </w:t>
      </w:r>
      <w:r w:rsidRPr="00240E36">
        <w:rPr>
          <w:i/>
        </w:rPr>
        <w:t xml:space="preserve">CSI-ResourceConfig </w:t>
      </w:r>
      <w:r w:rsidRPr="00240E36">
        <w:t>(for periodic and semi-persistent reporting).</w:t>
      </w:r>
    </w:p>
    <w:p w14:paraId="389FFDD2" w14:textId="14FA9178" w:rsidR="00D50720" w:rsidRDefault="00D50720" w:rsidP="00D50720">
      <w:pPr>
        <w:pStyle w:val="BodyText"/>
      </w:pPr>
      <w:r w:rsidRPr="00A331AC">
        <w:t xml:space="preserve">It would thus seem appropriate to include </w:t>
      </w:r>
      <w:r w:rsidR="003232DA">
        <w:t>the non-serving cell SSB configuration</w:t>
      </w:r>
      <w:r w:rsidRPr="00A331AC">
        <w:t xml:space="preserve"> in the </w:t>
      </w:r>
      <w:r w:rsidRPr="00A331AC">
        <w:rPr>
          <w:i/>
        </w:rPr>
        <w:t xml:space="preserve">CSI-SSB-ResourceSet. </w:t>
      </w:r>
      <w:r w:rsidRPr="00A331AC">
        <w:t xml:space="preserve">With this addition, the UE can be configured to report using periodic, semi-persistent and aperiodic reporting. </w:t>
      </w:r>
      <w:r w:rsidR="0053730E">
        <w:t>Also,</w:t>
      </w:r>
      <w:r>
        <w:t xml:space="preserve"> in this case, there are two options: </w:t>
      </w:r>
    </w:p>
    <w:p w14:paraId="6CD92EFD" w14:textId="2057FD79" w:rsidR="00D50720" w:rsidRPr="00240E36" w:rsidRDefault="00D50720" w:rsidP="00D50720">
      <w:pPr>
        <w:pStyle w:val="BodyText"/>
        <w:numPr>
          <w:ilvl w:val="0"/>
          <w:numId w:val="22"/>
        </w:numPr>
      </w:pPr>
      <w:r w:rsidRPr="00240E36">
        <w:t xml:space="preserve">The </w:t>
      </w:r>
      <w:r w:rsidR="003232DA">
        <w:t>non-serving cell SSB configuration</w:t>
      </w:r>
      <w:r w:rsidRPr="00240E36">
        <w:t xml:space="preserve"> is included directly in the </w:t>
      </w:r>
      <w:r w:rsidRPr="00240E36">
        <w:rPr>
          <w:i/>
        </w:rPr>
        <w:t xml:space="preserve">CSI-SSB-ResourceSet, </w:t>
      </w:r>
      <w:r w:rsidRPr="00240E36">
        <w:t xml:space="preserve">meaning that all SSBs in one </w:t>
      </w:r>
      <w:r w:rsidRPr="00240E36">
        <w:rPr>
          <w:i/>
        </w:rPr>
        <w:t xml:space="preserve">CSI-SSB-ResourceSet </w:t>
      </w:r>
      <w:r w:rsidRPr="00240E36">
        <w:t xml:space="preserve">belong to the same non-serving cell. </w:t>
      </w:r>
    </w:p>
    <w:p w14:paraId="62EC879C" w14:textId="27D48FA4" w:rsidR="00D50720" w:rsidRPr="00240E36" w:rsidRDefault="00D50720" w:rsidP="00D50720">
      <w:pPr>
        <w:pStyle w:val="BodyText"/>
        <w:numPr>
          <w:ilvl w:val="0"/>
          <w:numId w:val="22"/>
        </w:numPr>
      </w:pPr>
      <w:r w:rsidRPr="00240E36">
        <w:t xml:space="preserve">The </w:t>
      </w:r>
      <w:r w:rsidR="003232DA">
        <w:t>non-serving cell SSB configuration</w:t>
      </w:r>
      <w:r w:rsidRPr="00240E36">
        <w:t xml:space="preserve"> is included in the field </w:t>
      </w:r>
      <w:r w:rsidRPr="00240E36">
        <w:rPr>
          <w:i/>
        </w:rPr>
        <w:t>csi-SSB-ResourceList</w:t>
      </w:r>
      <w:r w:rsidRPr="00240E36">
        <w:t xml:space="preserve">, inside the </w:t>
      </w:r>
      <w:r w:rsidRPr="00240E36">
        <w:rPr>
          <w:i/>
        </w:rPr>
        <w:t>CSI-SSB-ResourceSet</w:t>
      </w:r>
      <w:r w:rsidRPr="00240E36">
        <w:t xml:space="preserve">. This means that one </w:t>
      </w:r>
      <w:r w:rsidRPr="00240E36">
        <w:rPr>
          <w:i/>
        </w:rPr>
        <w:t xml:space="preserve">CSI-SSB-ResourceSet </w:t>
      </w:r>
      <w:r w:rsidRPr="00240E36">
        <w:t xml:space="preserve">can contain SSBs from different cells.              </w:t>
      </w:r>
    </w:p>
    <w:p w14:paraId="271B5480" w14:textId="77777777" w:rsidR="00D50720" w:rsidRDefault="00D50720" w:rsidP="00D50720">
      <w:pPr>
        <w:pStyle w:val="BodyText"/>
      </w:pPr>
      <w:r w:rsidRPr="00240E36">
        <w:t xml:space="preserve">Here it would seem that the second option is preferable: </w:t>
      </w:r>
      <w:r>
        <w:t>the first option</w:t>
      </w:r>
      <w:r w:rsidRPr="00240E36">
        <w:t xml:space="preserve"> may be prohibitively complicated. </w:t>
      </w:r>
      <w:r>
        <w:t>Thus, we propose</w:t>
      </w:r>
    </w:p>
    <w:p w14:paraId="5E856A65" w14:textId="0B81C75D" w:rsidR="00D50720" w:rsidRDefault="00D50720" w:rsidP="00D50720">
      <w:pPr>
        <w:pStyle w:val="Proposal"/>
      </w:pPr>
      <w:bookmarkStart w:id="29" w:name="_Toc61889368"/>
      <w:r w:rsidRPr="00240E36">
        <w:t xml:space="preserve">Define the </w:t>
      </w:r>
      <w:r w:rsidRPr="00240E36">
        <w:rPr>
          <w:i/>
        </w:rPr>
        <w:t xml:space="preserve">CSI-SSB-ResourceSet </w:t>
      </w:r>
      <w:r w:rsidRPr="00240E36">
        <w:t>so that one report can contain measurements from different cells.</w:t>
      </w:r>
      <w:bookmarkEnd w:id="29"/>
    </w:p>
    <w:p w14:paraId="160CFEBE" w14:textId="77777777" w:rsidR="0053730E" w:rsidRDefault="0053730E" w:rsidP="0053730E">
      <w:pPr>
        <w:pStyle w:val="BodyText"/>
      </w:pPr>
      <w:r>
        <w:t>As stated in the agreement, intra-frequency scenarios are supported, whereas inter-frequency scenarios are FFS. In general, intra-frequency handovers are far more common in a mature deployment: since inter-frequency handovers require measurement gaps, they are generally avoided, and only used as a last resort. In our understanding, measurement gaps would be needed also to perform inter-frequency beam management, and that would essentially destroy most, if not all, gains seen by the feature. Thus, we see no reason to support inter-frequency scenarios with L1/L2-centric mobility:</w:t>
      </w:r>
    </w:p>
    <w:p w14:paraId="713E7917" w14:textId="719BE621" w:rsidR="0053730E" w:rsidRDefault="0053730E" w:rsidP="0053730E">
      <w:pPr>
        <w:pStyle w:val="Proposal"/>
      </w:pPr>
      <w:bookmarkStart w:id="30" w:name="_Toc61889369"/>
      <w:r>
        <w:t>Do not support inter-frequency scenarios for L1/L2-centric mobility.</w:t>
      </w:r>
      <w:bookmarkEnd w:id="30"/>
      <w:r>
        <w:t xml:space="preserve"> </w:t>
      </w:r>
    </w:p>
    <w:p w14:paraId="7EA0111B" w14:textId="2263F92A" w:rsidR="00634B7C" w:rsidRDefault="00634B7C" w:rsidP="00634B7C">
      <w:pPr>
        <w:pStyle w:val="BodyText"/>
        <w:rPr>
          <w:lang w:val="en-GB"/>
        </w:rPr>
      </w:pPr>
      <w:r>
        <w:rPr>
          <w:lang w:val="en-GB"/>
        </w:rPr>
        <w:t>One relevant issue explicitly is the handling of TA. This issue was discussed in section 2.1.</w:t>
      </w:r>
      <w:r w:rsidR="00282875">
        <w:rPr>
          <w:lang w:val="en-GB"/>
        </w:rPr>
        <w:t>3</w:t>
      </w:r>
      <w:r>
        <w:rPr>
          <w:lang w:val="en-GB"/>
        </w:rPr>
        <w:t>. That solution is relevant here as well. Note that in a single-TRP scenario, the UE is never required to maintain more than one TA at a time.</w:t>
      </w:r>
    </w:p>
    <w:p w14:paraId="0CC9F72E" w14:textId="50CFD31F" w:rsidR="0053730E" w:rsidRPr="00240E36" w:rsidRDefault="0053730E" w:rsidP="0053730E">
      <w:pPr>
        <w:pStyle w:val="Heading3"/>
      </w:pPr>
      <w:r>
        <w:t>2.2.3</w:t>
      </w:r>
      <w:r>
        <w:tab/>
        <w:t xml:space="preserve">Other aspects on L1/L2-centric </w:t>
      </w:r>
      <w:r w:rsidR="008A6408">
        <w:t xml:space="preserve">inter-cell </w:t>
      </w:r>
      <w:r>
        <w:t>mobility</w:t>
      </w:r>
    </w:p>
    <w:p w14:paraId="61A65C24" w14:textId="39FA6219" w:rsidR="00D50720" w:rsidRDefault="00A708DE" w:rsidP="0075641D">
      <w:r>
        <w:t>In RAN1#103-e, the following was agreed</w:t>
      </w:r>
    </w:p>
    <w:p w14:paraId="083AD092" w14:textId="77777777" w:rsidR="00A708DE" w:rsidRPr="00ED3598" w:rsidRDefault="00A708DE" w:rsidP="00A708DE">
      <w:pPr>
        <w:rPr>
          <w:lang w:eastAsia="ja-JP"/>
        </w:rPr>
      </w:pPr>
      <w:r>
        <w:rPr>
          <w:rFonts w:ascii="Times New Roman" w:hAnsi="Times New Roman" w:cs="Times New Roman"/>
          <w:noProof/>
        </w:rPr>
        <mc:AlternateContent>
          <mc:Choice Requires="wps">
            <w:drawing>
              <wp:inline distT="0" distB="0" distL="0" distR="0" wp14:anchorId="5360184D" wp14:editId="289122B5">
                <wp:extent cx="6120765" cy="356870"/>
                <wp:effectExtent l="0" t="0" r="13335" b="24130"/>
                <wp:docPr id="14" name="Text Box 14"/>
                <wp:cNvGraphicFramePr/>
                <a:graphic xmlns:a="http://schemas.openxmlformats.org/drawingml/2006/main">
                  <a:graphicData uri="http://schemas.microsoft.com/office/word/2010/wordprocessingShape">
                    <wps:wsp>
                      <wps:cNvSpPr txBox="1"/>
                      <wps:spPr>
                        <a:xfrm>
                          <a:off x="0" y="0"/>
                          <a:ext cx="6120765" cy="356870"/>
                        </a:xfrm>
                        <a:prstGeom prst="rect">
                          <a:avLst/>
                        </a:prstGeom>
                        <a:solidFill>
                          <a:schemeClr val="lt1"/>
                        </a:solidFill>
                        <a:ln w="6350">
                          <a:solidFill>
                            <a:prstClr val="black"/>
                          </a:solidFill>
                        </a:ln>
                      </wps:spPr>
                      <wps:txbx>
                        <w:txbxContent>
                          <w:p w14:paraId="639046BA" w14:textId="77777777" w:rsidR="00A645FD" w:rsidRPr="00635BF9" w:rsidRDefault="00A645FD" w:rsidP="00A708DE">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b/>
                                <w:bCs/>
                                <w:szCs w:val="20"/>
                                <w:highlight w:val="green"/>
                                <w:lang w:val="en-GB"/>
                              </w:rPr>
                              <w:t>Agreement</w:t>
                            </w:r>
                          </w:p>
                          <w:p w14:paraId="537CE31D" w14:textId="77777777" w:rsidR="00A645FD" w:rsidRPr="00635BF9" w:rsidRDefault="00A645FD" w:rsidP="00A708DE">
                            <w:pPr>
                              <w:numPr>
                                <w:ilvl w:val="0"/>
                                <w:numId w:val="35"/>
                              </w:numPr>
                              <w:snapToGrid w:val="0"/>
                              <w:spacing w:after="0" w:line="240" w:lineRule="auto"/>
                              <w:contextualSpacing/>
                              <w:jc w:val="both"/>
                              <w:rPr>
                                <w:rFonts w:ascii="Times New Roman" w:eastAsia="Batang" w:hAnsi="Times New Roman" w:cs="Times New Roman"/>
                                <w:szCs w:val="20"/>
                                <w:lang w:eastAsia="ko-KR"/>
                              </w:rPr>
                            </w:pPr>
                            <w:r w:rsidRPr="00635BF9">
                              <w:rPr>
                                <w:rFonts w:ascii="Times New Roman" w:eastAsia="Batang" w:hAnsi="Times New Roman" w:cs="Times New Roman"/>
                                <w:szCs w:val="20"/>
                                <w:lang w:val="en-GB" w:eastAsia="x-none"/>
                              </w:rPr>
                              <w:t xml:space="preserve">FFS: The following enhancement scope is assumed by RAN1: </w:t>
                            </w:r>
                          </w:p>
                          <w:p w14:paraId="7921BC8D" w14:textId="77777777" w:rsidR="00A645FD" w:rsidRPr="00635BF9" w:rsidRDefault="00A645FD" w:rsidP="00A708DE">
                            <w:pPr>
                              <w:numPr>
                                <w:ilvl w:val="1"/>
                                <w:numId w:val="35"/>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Whether RRC reconfiguration signaling is needed or not when a TCI associated with non-serving cell RS is indicated </w:t>
                            </w:r>
                          </w:p>
                          <w:p w14:paraId="1E4B7871" w14:textId="77777777" w:rsidR="00A645FD" w:rsidRPr="00635BF9" w:rsidRDefault="00A645FD" w:rsidP="00A708DE">
                            <w:pPr>
                              <w:numPr>
                                <w:ilvl w:val="2"/>
                                <w:numId w:val="35"/>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A non-serving cell RS is an RS that is or has an SSB of a non-serving cell as direct or indirect QCL source </w:t>
                            </w:r>
                          </w:p>
                          <w:p w14:paraId="50584D68" w14:textId="77777777" w:rsidR="00A645FD" w:rsidRPr="00635BF9" w:rsidRDefault="00A645FD" w:rsidP="00A708DE">
                            <w:pPr>
                              <w:numPr>
                                <w:ilvl w:val="2"/>
                                <w:numId w:val="35"/>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This implies no C-RNTI update when UE receives DL channel RS associated to non-serving cell RS as QCL source. </w:t>
                            </w:r>
                          </w:p>
                          <w:p w14:paraId="669E7E1F" w14:textId="77777777" w:rsidR="00A645FD" w:rsidRPr="00635BF9" w:rsidRDefault="00A645FD" w:rsidP="00A708DE">
                            <w:pPr>
                              <w:numPr>
                                <w:ilvl w:val="2"/>
                                <w:numId w:val="35"/>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zh-CN"/>
                              </w:rPr>
                              <w:t>FFS whether TCI associated with non-serving cell can be indicated to or are applicable for all channels.</w:t>
                            </w:r>
                          </w:p>
                          <w:p w14:paraId="69596851" w14:textId="77777777" w:rsidR="00A645FD" w:rsidRPr="00635BF9" w:rsidRDefault="00A645FD" w:rsidP="00A708DE">
                            <w:pPr>
                              <w:numPr>
                                <w:ilvl w:val="1"/>
                                <w:numId w:val="35"/>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zh-CN"/>
                              </w:rPr>
                              <w:t>Whether some RRC parameters need to be updated without additional RRC signaling, e.g. some RRC parameters are pre-configured, which are associated with TCI states with neighbor cell RS as QCL source</w:t>
                            </w:r>
                          </w:p>
                          <w:p w14:paraId="2603CB56" w14:textId="77777777" w:rsidR="00A645FD" w:rsidRPr="00635BF9" w:rsidRDefault="00A645FD" w:rsidP="00A708DE">
                            <w:pPr>
                              <w:numPr>
                                <w:ilvl w:val="1"/>
                                <w:numId w:val="35"/>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zh-CN"/>
                              </w:rPr>
                              <w:t>Whether UE needs/can change serving cell during L1/L2-centric inter-cell mobility.</w:t>
                            </w:r>
                          </w:p>
                          <w:p w14:paraId="679CDF99" w14:textId="2C7A02C0" w:rsidR="00A645FD" w:rsidRPr="00A708DE" w:rsidRDefault="00A645FD" w:rsidP="00A708DE">
                            <w:pPr>
                              <w:numPr>
                                <w:ilvl w:val="1"/>
                                <w:numId w:val="35"/>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The above assumption to be verified by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rto="http://schemas.microsoft.com/office/word/2006/arto">
            <w:pict>
              <v:shape w14:anchorId="5360184D" id="Text Box 14" o:spid="_x0000_s1031" type="#_x0000_t202" style="width:481.95pt;height:2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" fillcolor="white [3201]" strokeweight=".5pt">
                <v:textbox style="mso-fit-shape-to-text:t">
                  <w:txbxContent>
                    <w:p w14:paraId="639046BA" w14:textId="77777777" w:rsidR="00A645FD" w:rsidRPr="00635BF9" w:rsidRDefault="00A645FD" w:rsidP="00A708DE">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b/>
                          <w:bCs/>
                          <w:szCs w:val="20"/>
                          <w:highlight w:val="green"/>
                          <w:lang w:val="en-GB"/>
                        </w:rPr>
                        <w:t>Agreement</w:t>
                      </w:r>
                    </w:p>
                    <w:p w14:paraId="537CE31D" w14:textId="77777777" w:rsidR="00A645FD" w:rsidRPr="00635BF9" w:rsidRDefault="00A645FD" w:rsidP="00A708DE">
                      <w:pPr>
                        <w:numPr>
                          <w:ilvl w:val="0"/>
                          <w:numId w:val="35"/>
                        </w:numPr>
                        <w:snapToGrid w:val="0"/>
                        <w:spacing w:after="0" w:line="240" w:lineRule="auto"/>
                        <w:contextualSpacing/>
                        <w:jc w:val="both"/>
                        <w:rPr>
                          <w:rFonts w:ascii="Times New Roman" w:eastAsia="Batang" w:hAnsi="Times New Roman" w:cs="Times New Roman"/>
                          <w:szCs w:val="20"/>
                          <w:lang w:eastAsia="ko-KR"/>
                        </w:rPr>
                      </w:pPr>
                      <w:r w:rsidRPr="00635BF9">
                        <w:rPr>
                          <w:rFonts w:ascii="Times New Roman" w:eastAsia="Batang" w:hAnsi="Times New Roman" w:cs="Times New Roman"/>
                          <w:szCs w:val="20"/>
                          <w:lang w:val="en-GB" w:eastAsia="x-none"/>
                        </w:rPr>
                        <w:t xml:space="preserve">FFS: The following enhancement scope is assumed by RAN1: </w:t>
                      </w:r>
                    </w:p>
                    <w:p w14:paraId="7921BC8D" w14:textId="77777777" w:rsidR="00A645FD" w:rsidRPr="00635BF9" w:rsidRDefault="00A645FD" w:rsidP="00A708DE">
                      <w:pPr>
                        <w:numPr>
                          <w:ilvl w:val="1"/>
                          <w:numId w:val="35"/>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Whether RRC reconfiguration signaling is needed or not when a TCI associated with non-serving cell RS is indicated </w:t>
                      </w:r>
                    </w:p>
                    <w:p w14:paraId="1E4B7871" w14:textId="77777777" w:rsidR="00A645FD" w:rsidRPr="00635BF9" w:rsidRDefault="00A645FD" w:rsidP="00A708DE">
                      <w:pPr>
                        <w:numPr>
                          <w:ilvl w:val="2"/>
                          <w:numId w:val="35"/>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A non-serving cell RS is an RS that is or has an SSB of a non-serving cell as direct or indirect QCL source </w:t>
                      </w:r>
                    </w:p>
                    <w:p w14:paraId="50584D68" w14:textId="77777777" w:rsidR="00A645FD" w:rsidRPr="00635BF9" w:rsidRDefault="00A645FD" w:rsidP="00A708DE">
                      <w:pPr>
                        <w:numPr>
                          <w:ilvl w:val="2"/>
                          <w:numId w:val="35"/>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This implies no C-RNTI update when UE receives DL channel RS associated to non-serving cell RS as QCL source. </w:t>
                      </w:r>
                    </w:p>
                    <w:p w14:paraId="669E7E1F" w14:textId="77777777" w:rsidR="00A645FD" w:rsidRPr="00635BF9" w:rsidRDefault="00A645FD" w:rsidP="00A708DE">
                      <w:pPr>
                        <w:numPr>
                          <w:ilvl w:val="2"/>
                          <w:numId w:val="35"/>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zh-CN"/>
                        </w:rPr>
                        <w:t>FFS whether TCI associated with non-serving cell can be indicated to or are applicable for all channels.</w:t>
                      </w:r>
                    </w:p>
                    <w:p w14:paraId="69596851" w14:textId="77777777" w:rsidR="00A645FD" w:rsidRPr="00635BF9" w:rsidRDefault="00A645FD" w:rsidP="00A708DE">
                      <w:pPr>
                        <w:numPr>
                          <w:ilvl w:val="1"/>
                          <w:numId w:val="35"/>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zh-CN"/>
                        </w:rPr>
                        <w:t>Whether some RRC parameters need to be updated without additional RRC signaling, e.g. some RRC parameters are pre-configured, which are associated with TCI states with neighbor cell RS as QCL source</w:t>
                      </w:r>
                    </w:p>
                    <w:p w14:paraId="2603CB56" w14:textId="77777777" w:rsidR="00A645FD" w:rsidRPr="00635BF9" w:rsidRDefault="00A645FD" w:rsidP="00A708DE">
                      <w:pPr>
                        <w:numPr>
                          <w:ilvl w:val="1"/>
                          <w:numId w:val="35"/>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zh-CN"/>
                        </w:rPr>
                        <w:t>Whether UE needs/can change serving cell during L1/L2-centric inter-cell mobility.</w:t>
                      </w:r>
                    </w:p>
                    <w:p w14:paraId="679CDF99" w14:textId="2C7A02C0" w:rsidR="00A645FD" w:rsidRPr="00A708DE" w:rsidRDefault="00A645FD" w:rsidP="00A708DE">
                      <w:pPr>
                        <w:numPr>
                          <w:ilvl w:val="1"/>
                          <w:numId w:val="35"/>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The above assumption to be verified by RAN2</w:t>
                      </w:r>
                    </w:p>
                  </w:txbxContent>
                </v:textbox>
                <w10:anchorlock/>
              </v:shape>
            </w:pict>
          </mc:Fallback>
        </mc:AlternateContent>
      </w:r>
    </w:p>
    <w:p w14:paraId="219B5D24" w14:textId="086EE91C" w:rsidR="00D42A30" w:rsidRDefault="00D42A30" w:rsidP="0075641D">
      <w:r>
        <w:t>T</w:t>
      </w:r>
      <w:r w:rsidR="00A708DE">
        <w:t xml:space="preserve">his FFS discusses the need for RRC signaling and/or automatic RRC configuration updates as a result of switching to a TCI state associated with a non-serving RS. </w:t>
      </w:r>
      <w:r>
        <w:t>It is clear to us that these issues are for RAN2 to discuss, and it would seem unnecessary to discuss them in RAN1:</w:t>
      </w:r>
    </w:p>
    <w:p w14:paraId="153E2F16" w14:textId="77777777" w:rsidR="00D42A30" w:rsidRDefault="00D42A30" w:rsidP="00D42A30">
      <w:pPr>
        <w:pStyle w:val="Observation"/>
      </w:pPr>
      <w:bookmarkStart w:id="31" w:name="_Toc61889342"/>
      <w:r>
        <w:t>Issues related to RRC configuration updates are up to RAN2, and discussions in RAN1 are unnecessary.</w:t>
      </w:r>
      <w:bookmarkEnd w:id="31"/>
    </w:p>
    <w:p w14:paraId="2C97CAA8" w14:textId="77777777" w:rsidR="00D42A30" w:rsidRDefault="00D42A30" w:rsidP="00D42A30">
      <w:pPr>
        <w:pStyle w:val="BodyText"/>
      </w:pPr>
      <w:r>
        <w:t>The same observation holds for the intra-DU vs inter-DU issue: this discussion is not for RAN1, and there is no impact to the RAN1 specification:</w:t>
      </w:r>
    </w:p>
    <w:p w14:paraId="640313E8" w14:textId="77777777" w:rsidR="00D42A30" w:rsidRDefault="00D42A30" w:rsidP="00D42A30">
      <w:pPr>
        <w:pStyle w:val="Observation"/>
      </w:pPr>
      <w:bookmarkStart w:id="32" w:name="_Toc61889343"/>
      <w:r>
        <w:t>There is no RAN1 specification impact related to the inter-DU scenario.</w:t>
      </w:r>
      <w:bookmarkEnd w:id="32"/>
    </w:p>
    <w:p w14:paraId="227C54CA" w14:textId="77777777" w:rsidR="00D74AB8" w:rsidRDefault="00D42A30" w:rsidP="00D42A30">
      <w:pPr>
        <w:pStyle w:val="BodyText"/>
      </w:pPr>
      <w:r>
        <w:t xml:space="preserve">It is our understanding that even without changes to RAN2 procedures, the L1/L2-centric inter-cell mobility functionality discussed in the FeMIMO WI </w:t>
      </w:r>
      <w:r w:rsidR="00812DE5">
        <w:t xml:space="preserve">would be beneficial. Any work in RAN2 would improve the </w:t>
      </w:r>
      <w:r w:rsidR="00D74AB8">
        <w:t>performance and</w:t>
      </w:r>
      <w:r w:rsidR="00812DE5">
        <w:t xml:space="preserve"> would lead to that more deployments become possible</w:t>
      </w:r>
      <w:r w:rsidR="00D74AB8">
        <w:t>:</w:t>
      </w:r>
    </w:p>
    <w:p w14:paraId="55922B34" w14:textId="72ADC230" w:rsidR="00A708DE" w:rsidRDefault="00D74AB8" w:rsidP="00D74AB8">
      <w:pPr>
        <w:pStyle w:val="Observation"/>
      </w:pPr>
      <w:bookmarkStart w:id="33" w:name="_Toc61889344"/>
      <w:r>
        <w:t>Measurements on non-serving RSs and beam indication using non-serving RSs would lead to an operational solution, and additional RAN2 would lead to improved performance and wider deployment possibilities.</w:t>
      </w:r>
      <w:bookmarkEnd w:id="33"/>
    </w:p>
    <w:p w14:paraId="0EFFABCB" w14:textId="5781BAD8" w:rsidR="00D74AB8" w:rsidRDefault="00D74AB8" w:rsidP="00D74AB8">
      <w:pPr>
        <w:pStyle w:val="BodyText"/>
      </w:pPr>
      <w:r>
        <w:t>Based on these observations, we propose</w:t>
      </w:r>
    </w:p>
    <w:p w14:paraId="26E9E6B5" w14:textId="29BE718F" w:rsidR="00D74AB8" w:rsidRDefault="00D74AB8" w:rsidP="00D74AB8">
      <w:pPr>
        <w:pStyle w:val="Proposal"/>
      </w:pPr>
      <w:bookmarkStart w:id="34" w:name="_Toc61889370"/>
      <w:r>
        <w:t>No further discussions in RAN1 on issues related to RRC configurations associated with L1/L2-centric inter-cell mobility.</w:t>
      </w:r>
      <w:bookmarkEnd w:id="34"/>
      <w:r>
        <w:t xml:space="preserve"> </w:t>
      </w:r>
    </w:p>
    <w:p w14:paraId="4846C2C4" w14:textId="442B5DFE" w:rsidR="00D50720" w:rsidRDefault="00D74AB8" w:rsidP="00D42A30">
      <w:pPr>
        <w:pStyle w:val="Proposal"/>
      </w:pPr>
      <w:bookmarkStart w:id="35" w:name="_Toc61889371"/>
      <w:r>
        <w:t xml:space="preserve">Include </w:t>
      </w:r>
      <w:r w:rsidR="00AF26FF">
        <w:t>i</w:t>
      </w:r>
      <w:r>
        <w:t xml:space="preserve">ssues </w:t>
      </w:r>
      <w:r w:rsidR="00AF26FF">
        <w:t xml:space="preserve">related to RRC configurations associated with L1/L2-centric inter-cell mobility in </w:t>
      </w:r>
      <w:r>
        <w:t>a future LS to RAN2.</w:t>
      </w:r>
      <w:bookmarkEnd w:id="35"/>
    </w:p>
    <w:p w14:paraId="46F8C4CB" w14:textId="4031A187" w:rsidR="0086351C" w:rsidRDefault="0086351C" w:rsidP="0086351C">
      <w:pPr>
        <w:pStyle w:val="Heading2"/>
      </w:pPr>
      <w:r>
        <w:t>2.</w:t>
      </w:r>
      <w:r w:rsidR="0019074B">
        <w:t>3</w:t>
      </w:r>
      <w:r>
        <w:tab/>
      </w:r>
      <w:r w:rsidR="0094121C">
        <w:t>A</w:t>
      </w:r>
      <w:r w:rsidR="00387DE8">
        <w:t xml:space="preserve">dditional details on the </w:t>
      </w:r>
      <w:r w:rsidR="0094121C">
        <w:t xml:space="preserve">TCI </w:t>
      </w:r>
      <w:r w:rsidR="00387DE8">
        <w:t xml:space="preserve">signalling </w:t>
      </w:r>
      <w:r w:rsidR="0094121C">
        <w:t xml:space="preserve">mechanism </w:t>
      </w:r>
      <w:r w:rsidR="00387DE8">
        <w:t>design</w:t>
      </w:r>
    </w:p>
    <w:p w14:paraId="0DF01966" w14:textId="2A35B2FC" w:rsidR="009D6DDD" w:rsidRDefault="009D6DDD" w:rsidP="009D6DDD">
      <w:r w:rsidRPr="0033781A">
        <w:t xml:space="preserve">In </w:t>
      </w:r>
      <w:r>
        <w:t>RAN1#103e, the following agreements were made:</w:t>
      </w:r>
    </w:p>
    <w:p w14:paraId="69204237" w14:textId="060FC850" w:rsidR="003B781B" w:rsidRDefault="003B781B" w:rsidP="009D6DDD">
      <w:r>
        <w:rPr>
          <w:rFonts w:ascii="Times New Roman" w:hAnsi="Times New Roman" w:cs="Times New Roman"/>
          <w:noProof/>
        </w:rPr>
        <mc:AlternateContent>
          <mc:Choice Requires="wps">
            <w:drawing>
              <wp:inline distT="0" distB="0" distL="0" distR="0" wp14:anchorId="2684656E" wp14:editId="27A63580">
                <wp:extent cx="6120765" cy="2287270"/>
                <wp:effectExtent l="0" t="0" r="13335" b="17780"/>
                <wp:docPr id="4" name="Text Box 4"/>
                <wp:cNvGraphicFramePr/>
                <a:graphic xmlns:a="http://schemas.openxmlformats.org/drawingml/2006/main">
                  <a:graphicData uri="http://schemas.microsoft.com/office/word/2010/wordprocessingShape">
                    <wps:wsp>
                      <wps:cNvSpPr txBox="1"/>
                      <wps:spPr>
                        <a:xfrm>
                          <a:off x="0" y="0"/>
                          <a:ext cx="6120765" cy="2287270"/>
                        </a:xfrm>
                        <a:prstGeom prst="rect">
                          <a:avLst/>
                        </a:prstGeom>
                        <a:solidFill>
                          <a:schemeClr val="lt1"/>
                        </a:solidFill>
                        <a:ln w="6350">
                          <a:solidFill>
                            <a:prstClr val="black"/>
                          </a:solidFill>
                        </a:ln>
                      </wps:spPr>
                      <wps:txbx>
                        <w:txbxContent>
                          <w:p w14:paraId="441278A4" w14:textId="77777777" w:rsidR="003B781B" w:rsidRPr="00635BF9" w:rsidRDefault="003B781B" w:rsidP="003B781B">
                            <w:pPr>
                              <w:spacing w:after="0"/>
                              <w:rPr>
                                <w:rFonts w:ascii="Times New Roman" w:eastAsia="Batang" w:hAnsi="Times New Roman" w:cs="Times New Roman"/>
                                <w:b/>
                                <w:bCs/>
                                <w:szCs w:val="20"/>
                                <w:highlight w:val="green"/>
                                <w:lang w:val="en-GB"/>
                              </w:rPr>
                            </w:pPr>
                            <w:r w:rsidRPr="00635BF9">
                              <w:rPr>
                                <w:rFonts w:ascii="Times New Roman" w:eastAsia="Batang" w:hAnsi="Times New Roman" w:cs="Times New Roman"/>
                                <w:b/>
                                <w:bCs/>
                                <w:szCs w:val="20"/>
                                <w:highlight w:val="green"/>
                                <w:lang w:val="en-GB"/>
                              </w:rPr>
                              <w:t>Agreement</w:t>
                            </w:r>
                          </w:p>
                          <w:p w14:paraId="13AAF34A" w14:textId="77777777" w:rsidR="003B781B" w:rsidRPr="00635BF9" w:rsidRDefault="003B781B" w:rsidP="003B781B">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On beam indication signaling medium to support joint or separate DL/UL beam indication in Rel.17 unified TCI framework:</w:t>
                            </w:r>
                          </w:p>
                          <w:p w14:paraId="20440AD8" w14:textId="77777777" w:rsidR="003B781B" w:rsidRPr="00635BF9" w:rsidRDefault="003B781B" w:rsidP="003B781B">
                            <w:pPr>
                              <w:numPr>
                                <w:ilvl w:val="0"/>
                                <w:numId w:val="31"/>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Support L1-based beam indication using at least UE-specific (unicast) DCI to indicate joint or separate DL/UL beam indication from the active TCI states </w:t>
                            </w:r>
                          </w:p>
                          <w:p w14:paraId="6D60B358" w14:textId="77777777" w:rsidR="003B781B" w:rsidRPr="00635BF9" w:rsidRDefault="003B781B" w:rsidP="003B781B">
                            <w:pPr>
                              <w:numPr>
                                <w:ilvl w:val="1"/>
                                <w:numId w:val="31"/>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The existing DCI formats 1_1 and 1_2 are reused for beam indication</w:t>
                            </w:r>
                          </w:p>
                          <w:p w14:paraId="31CD1D9F" w14:textId="77777777" w:rsidR="003B781B" w:rsidRPr="00635BF9" w:rsidRDefault="003B781B" w:rsidP="003B781B">
                            <w:pPr>
                              <w:numPr>
                                <w:ilvl w:val="1"/>
                                <w:numId w:val="31"/>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Support a mechanism for UE to acknowledge successful decoding of beam indication</w:t>
                            </w:r>
                          </w:p>
                          <w:p w14:paraId="24F630E8" w14:textId="77777777" w:rsidR="003B781B" w:rsidRPr="00635BF9" w:rsidRDefault="003B781B" w:rsidP="003B781B">
                            <w:pPr>
                              <w:numPr>
                                <w:ilvl w:val="2"/>
                                <w:numId w:val="31"/>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The ACK/NAK of the PDSCH scheduled by the DCI carrying the beam indication can be used as an ACK also for the DCI</w:t>
                            </w:r>
                          </w:p>
                          <w:p w14:paraId="13BF0D73" w14:textId="77777777" w:rsidR="003B781B" w:rsidRPr="00635BF9" w:rsidRDefault="003B781B" w:rsidP="003B781B">
                            <w:pPr>
                              <w:numPr>
                                <w:ilvl w:val="2"/>
                                <w:numId w:val="31"/>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any additional specification support is needed</w:t>
                            </w:r>
                          </w:p>
                          <w:p w14:paraId="2373AE19" w14:textId="77777777" w:rsidR="003B781B" w:rsidRPr="00635BF9" w:rsidRDefault="003B781B" w:rsidP="003B781B">
                            <w:pPr>
                              <w:numPr>
                                <w:ilvl w:val="0"/>
                                <w:numId w:val="31"/>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Support activation of one or more TCI states via MAC CE analogous to Rel.15/16:</w:t>
                            </w:r>
                          </w:p>
                          <w:p w14:paraId="27EACD33" w14:textId="77777777" w:rsidR="003B781B" w:rsidRPr="00635BF9" w:rsidRDefault="003B781B" w:rsidP="003B781B">
                            <w:pPr>
                              <w:numPr>
                                <w:ilvl w:val="1"/>
                                <w:numId w:val="31"/>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At least for the single activated TCI state, the activated TCI state is applied</w:t>
                            </w:r>
                          </w:p>
                          <w:p w14:paraId="75CEE861" w14:textId="77777777" w:rsidR="003B781B" w:rsidRPr="00635BF9" w:rsidRDefault="003B781B" w:rsidP="003B781B">
                            <w:pPr>
                              <w:numPr>
                                <w:ilvl w:val="1"/>
                                <w:numId w:val="31"/>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The content for the MAC CE is determined based on the outcome of issue 1</w:t>
                            </w:r>
                          </w:p>
                          <w:p w14:paraId="1DB5BCB0" w14:textId="77777777" w:rsidR="003B781B" w:rsidRPr="00635BF9" w:rsidRDefault="003B781B" w:rsidP="003B781B">
                            <w:pPr>
                              <w:numPr>
                                <w:ilvl w:val="1"/>
                                <w:numId w:val="31"/>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If supported, default TCI state when more than one TCI states are activated by MAC CE</w:t>
                            </w:r>
                          </w:p>
                          <w:p w14:paraId="601471B2" w14:textId="77777777" w:rsidR="003B781B" w:rsidRPr="00635BF9" w:rsidRDefault="003B781B" w:rsidP="003B781B">
                            <w:pPr>
                              <w:numPr>
                                <w:ilvl w:val="1"/>
                                <w:numId w:val="31"/>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Note: There is no implications on the support of single TRP or multi-TRP </w:t>
                            </w:r>
                          </w:p>
                          <w:p w14:paraId="0B5A97A1" w14:textId="77777777" w:rsidR="003B781B" w:rsidRPr="00635BF9" w:rsidRDefault="003B781B" w:rsidP="003B781B">
                            <w:pPr>
                              <w:numPr>
                                <w:ilvl w:val="0"/>
                                <w:numId w:val="31"/>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Additional enhancement such as L1-based beam indication with group-common DCI</w:t>
                            </w:r>
                          </w:p>
                          <w:p w14:paraId="2D77A66C" w14:textId="77777777" w:rsidR="003B781B" w:rsidRPr="00635BF9" w:rsidRDefault="003B781B" w:rsidP="003B781B">
                            <w:pPr>
                              <w:numPr>
                                <w:ilvl w:val="0"/>
                                <w:numId w:val="31"/>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the Rel.17 beam indication can also apply to beam indication for single channel (e.g. PDSCH only, single CORESET) or a subset of channels</w:t>
                            </w:r>
                          </w:p>
                          <w:p w14:paraId="62385A25" w14:textId="77777777" w:rsidR="003B781B" w:rsidRPr="00786D65" w:rsidRDefault="003B781B" w:rsidP="003B781B">
                            <w:pPr>
                              <w:numPr>
                                <w:ilvl w:val="0"/>
                                <w:numId w:val="31"/>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Additional details on extending the support of L1-based beam indication when separate UL (from DL) common beam indication is configured</w:t>
                            </w:r>
                          </w:p>
                          <w:p w14:paraId="26E72046" w14:textId="77777777" w:rsidR="003B781B" w:rsidRPr="00635BF9" w:rsidRDefault="003B781B" w:rsidP="003B781B">
                            <w:pPr>
                              <w:snapToGrid w:val="0"/>
                              <w:spacing w:after="0" w:line="240" w:lineRule="auto"/>
                              <w:ind w:left="720"/>
                              <w:jc w:val="both"/>
                              <w:rPr>
                                <w:rFonts w:ascii="Times New Roman" w:eastAsia="Batang" w:hAnsi="Times New Roman" w:cs="Times New Roman"/>
                                <w:szCs w:val="20"/>
                                <w:lang w:val="en-GB" w:eastAsia="x-none"/>
                              </w:rPr>
                            </w:pPr>
                          </w:p>
                          <w:p w14:paraId="60391D7E" w14:textId="77777777" w:rsidR="003B781B" w:rsidRPr="00635BF9" w:rsidRDefault="003B781B" w:rsidP="003B781B">
                            <w:pPr>
                              <w:snapToGrid w:val="0"/>
                              <w:spacing w:after="0"/>
                              <w:jc w:val="both"/>
                              <w:rPr>
                                <w:rFonts w:ascii="Times New Roman" w:eastAsia="Batang" w:hAnsi="Times New Roman" w:cs="Times New Roman"/>
                                <w:szCs w:val="20"/>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rto="http://schemas.microsoft.com/office/word/2006/arto">
            <w:pict>
              <v:shape w14:anchorId="2684656E" id="Text Box 4" o:spid="_x0000_s1032" type="#_x0000_t202" style="width:481.95pt;height:18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" fillcolor="white [3201]" strokeweight=".5pt">
                <v:textbox style="mso-fit-shape-to-text:t">
                  <w:txbxContent>
                    <w:p w14:paraId="441278A4" w14:textId="77777777" w:rsidR="003B781B" w:rsidRPr="00635BF9" w:rsidRDefault="003B781B" w:rsidP="003B781B">
                      <w:pPr>
                        <w:spacing w:after="0"/>
                        <w:rPr>
                          <w:rFonts w:ascii="Times New Roman" w:eastAsia="Batang" w:hAnsi="Times New Roman" w:cs="Times New Roman"/>
                          <w:b/>
                          <w:bCs/>
                          <w:szCs w:val="20"/>
                          <w:highlight w:val="green"/>
                          <w:lang w:val="en-GB"/>
                        </w:rPr>
                      </w:pPr>
                      <w:r w:rsidRPr="00635BF9">
                        <w:rPr>
                          <w:rFonts w:ascii="Times New Roman" w:eastAsia="Batang" w:hAnsi="Times New Roman" w:cs="Times New Roman"/>
                          <w:b/>
                          <w:bCs/>
                          <w:szCs w:val="20"/>
                          <w:highlight w:val="green"/>
                          <w:lang w:val="en-GB"/>
                        </w:rPr>
                        <w:t>Agreement</w:t>
                      </w:r>
                    </w:p>
                    <w:p w14:paraId="13AAF34A" w14:textId="77777777" w:rsidR="003B781B" w:rsidRPr="00635BF9" w:rsidRDefault="003B781B" w:rsidP="003B781B">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On beam indication signaling medium to support joint or separate DL/UL beam indication in Rel.17 unified TCI framework:</w:t>
                      </w:r>
                    </w:p>
                    <w:p w14:paraId="20440AD8" w14:textId="77777777" w:rsidR="003B781B" w:rsidRPr="00635BF9" w:rsidRDefault="003B781B" w:rsidP="003B781B">
                      <w:pPr>
                        <w:numPr>
                          <w:ilvl w:val="0"/>
                          <w:numId w:val="31"/>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Support L1-based beam indication using at least UE-specific (unicast) DCI to indicate joint or separate DL/UL beam indication from the active TCI states </w:t>
                      </w:r>
                    </w:p>
                    <w:p w14:paraId="6D60B358" w14:textId="77777777" w:rsidR="003B781B" w:rsidRPr="00635BF9" w:rsidRDefault="003B781B" w:rsidP="003B781B">
                      <w:pPr>
                        <w:numPr>
                          <w:ilvl w:val="1"/>
                          <w:numId w:val="31"/>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The existing DCI formats 1_1 and 1_2 are reused for beam indication</w:t>
                      </w:r>
                    </w:p>
                    <w:p w14:paraId="31CD1D9F" w14:textId="77777777" w:rsidR="003B781B" w:rsidRPr="00635BF9" w:rsidRDefault="003B781B" w:rsidP="003B781B">
                      <w:pPr>
                        <w:numPr>
                          <w:ilvl w:val="1"/>
                          <w:numId w:val="31"/>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Support a mechanism for UE to acknowledge successful decoding of beam indication</w:t>
                      </w:r>
                    </w:p>
                    <w:p w14:paraId="24F630E8" w14:textId="77777777" w:rsidR="003B781B" w:rsidRPr="00635BF9" w:rsidRDefault="003B781B" w:rsidP="003B781B">
                      <w:pPr>
                        <w:numPr>
                          <w:ilvl w:val="2"/>
                          <w:numId w:val="31"/>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The ACK/NAK of the PDSCH scheduled by the DCI carrying the beam indication can be used as an ACK also for the DCI</w:t>
                      </w:r>
                    </w:p>
                    <w:p w14:paraId="13BF0D73" w14:textId="77777777" w:rsidR="003B781B" w:rsidRPr="00635BF9" w:rsidRDefault="003B781B" w:rsidP="003B781B">
                      <w:pPr>
                        <w:numPr>
                          <w:ilvl w:val="2"/>
                          <w:numId w:val="31"/>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any additional specification support is needed</w:t>
                      </w:r>
                    </w:p>
                    <w:p w14:paraId="2373AE19" w14:textId="77777777" w:rsidR="003B781B" w:rsidRPr="00635BF9" w:rsidRDefault="003B781B" w:rsidP="003B781B">
                      <w:pPr>
                        <w:numPr>
                          <w:ilvl w:val="0"/>
                          <w:numId w:val="31"/>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Support activation of one or more TCI states via MAC CE analogous to Rel.15/16:</w:t>
                      </w:r>
                    </w:p>
                    <w:p w14:paraId="27EACD33" w14:textId="77777777" w:rsidR="003B781B" w:rsidRPr="00635BF9" w:rsidRDefault="003B781B" w:rsidP="003B781B">
                      <w:pPr>
                        <w:numPr>
                          <w:ilvl w:val="1"/>
                          <w:numId w:val="31"/>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At least for the single activated TCI state, the activated TCI state is applied</w:t>
                      </w:r>
                    </w:p>
                    <w:p w14:paraId="75CEE861" w14:textId="77777777" w:rsidR="003B781B" w:rsidRPr="00635BF9" w:rsidRDefault="003B781B" w:rsidP="003B781B">
                      <w:pPr>
                        <w:numPr>
                          <w:ilvl w:val="1"/>
                          <w:numId w:val="31"/>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The content for the MAC CE is determined based on the outcome of issue 1</w:t>
                      </w:r>
                    </w:p>
                    <w:p w14:paraId="1DB5BCB0" w14:textId="77777777" w:rsidR="003B781B" w:rsidRPr="00635BF9" w:rsidRDefault="003B781B" w:rsidP="003B781B">
                      <w:pPr>
                        <w:numPr>
                          <w:ilvl w:val="1"/>
                          <w:numId w:val="31"/>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If supported, default TCI state when more than one TCI states are activated by MAC CE</w:t>
                      </w:r>
                    </w:p>
                    <w:p w14:paraId="601471B2" w14:textId="77777777" w:rsidR="003B781B" w:rsidRPr="00635BF9" w:rsidRDefault="003B781B" w:rsidP="003B781B">
                      <w:pPr>
                        <w:numPr>
                          <w:ilvl w:val="1"/>
                          <w:numId w:val="31"/>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Note: There is no implications on the support of single TRP or multi-TRP </w:t>
                      </w:r>
                    </w:p>
                    <w:p w14:paraId="0B5A97A1" w14:textId="77777777" w:rsidR="003B781B" w:rsidRPr="00635BF9" w:rsidRDefault="003B781B" w:rsidP="003B781B">
                      <w:pPr>
                        <w:numPr>
                          <w:ilvl w:val="0"/>
                          <w:numId w:val="31"/>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Additional enhancement such as L1-based beam indication with group-common DCI</w:t>
                      </w:r>
                    </w:p>
                    <w:p w14:paraId="2D77A66C" w14:textId="77777777" w:rsidR="003B781B" w:rsidRPr="00635BF9" w:rsidRDefault="003B781B" w:rsidP="003B781B">
                      <w:pPr>
                        <w:numPr>
                          <w:ilvl w:val="0"/>
                          <w:numId w:val="31"/>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the Rel.17 beam indication can also apply to beam indication for single channel (e.g. PDSCH only, single CORESET) or a subset of channels</w:t>
                      </w:r>
                    </w:p>
                    <w:p w14:paraId="62385A25" w14:textId="77777777" w:rsidR="003B781B" w:rsidRPr="00786D65" w:rsidRDefault="003B781B" w:rsidP="003B781B">
                      <w:pPr>
                        <w:numPr>
                          <w:ilvl w:val="0"/>
                          <w:numId w:val="31"/>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Additional details on extending the support of L1-based beam indication when separate UL (from DL) common beam indication is configured</w:t>
                      </w:r>
                    </w:p>
                    <w:p w14:paraId="26E72046" w14:textId="77777777" w:rsidR="003B781B" w:rsidRPr="00635BF9" w:rsidRDefault="003B781B" w:rsidP="003B781B">
                      <w:pPr>
                        <w:snapToGrid w:val="0"/>
                        <w:spacing w:after="0" w:line="240" w:lineRule="auto"/>
                        <w:ind w:left="720"/>
                        <w:jc w:val="both"/>
                        <w:rPr>
                          <w:rFonts w:ascii="Times New Roman" w:eastAsia="Batang" w:hAnsi="Times New Roman" w:cs="Times New Roman"/>
                          <w:szCs w:val="20"/>
                          <w:lang w:val="en-GB" w:eastAsia="x-none"/>
                        </w:rPr>
                      </w:pPr>
                    </w:p>
                    <w:p w14:paraId="60391D7E" w14:textId="77777777" w:rsidR="003B781B" w:rsidRPr="00635BF9" w:rsidRDefault="003B781B" w:rsidP="003B781B">
                      <w:pPr>
                        <w:snapToGrid w:val="0"/>
                        <w:spacing w:after="0"/>
                        <w:jc w:val="both"/>
                        <w:rPr>
                          <w:rFonts w:ascii="Times New Roman" w:eastAsia="Batang" w:hAnsi="Times New Roman" w:cs="Times New Roman"/>
                          <w:szCs w:val="20"/>
                          <w:lang w:val="en-GB"/>
                        </w:rPr>
                      </w:pPr>
                    </w:p>
                  </w:txbxContent>
                </v:textbox>
                <w10:anchorlock/>
              </v:shape>
            </w:pict>
          </mc:Fallback>
        </mc:AlternateContent>
      </w:r>
    </w:p>
    <w:p w14:paraId="3FD272D2" w14:textId="77777777" w:rsidR="00E45ADA" w:rsidRPr="00CD5434" w:rsidRDefault="00E45ADA" w:rsidP="00E45ADA">
      <w:pPr>
        <w:rPr>
          <w:lang w:val="en-GB" w:eastAsia="ja-JP"/>
        </w:rPr>
      </w:pPr>
      <w:r>
        <w:rPr>
          <w:noProof/>
          <w:lang w:val="en-GB" w:eastAsia="ja-JP"/>
        </w:rPr>
        <mc:AlternateContent>
          <mc:Choice Requires="wps">
            <w:drawing>
              <wp:inline distT="0" distB="0" distL="0" distR="0" wp14:anchorId="078BBF6E" wp14:editId="173B89F9">
                <wp:extent cx="6457950" cy="2209800"/>
                <wp:effectExtent l="0" t="0" r="19050" b="10795"/>
                <wp:docPr id="1" name="Text Box 1"/>
                <wp:cNvGraphicFramePr/>
                <a:graphic xmlns:a="http://schemas.openxmlformats.org/drawingml/2006/main">
                  <a:graphicData uri="http://schemas.microsoft.com/office/word/2010/wordprocessingShape">
                    <wps:wsp>
                      <wps:cNvSpPr txBox="1"/>
                      <wps:spPr>
                        <a:xfrm>
                          <a:off x="0" y="0"/>
                          <a:ext cx="6457950" cy="2209800"/>
                        </a:xfrm>
                        <a:prstGeom prst="rect">
                          <a:avLst/>
                        </a:prstGeom>
                        <a:solidFill>
                          <a:schemeClr val="lt1"/>
                        </a:solidFill>
                        <a:ln w="6350">
                          <a:solidFill>
                            <a:prstClr val="black"/>
                          </a:solidFill>
                        </a:ln>
                      </wps:spPr>
                      <wps:txbx>
                        <w:txbxContent>
                          <w:p w14:paraId="28D038AF" w14:textId="77777777" w:rsidR="00A645FD" w:rsidRPr="00635BF9" w:rsidRDefault="00A645FD" w:rsidP="004152EC">
                            <w:pPr>
                              <w:spacing w:after="0"/>
                              <w:rPr>
                                <w:rFonts w:ascii="Times New Roman" w:eastAsia="Batang" w:hAnsi="Times New Roman" w:cs="Times New Roman"/>
                                <w:color w:val="1F497D"/>
                                <w:szCs w:val="20"/>
                                <w:lang w:val="en-GB"/>
                              </w:rPr>
                            </w:pPr>
                          </w:p>
                          <w:p w14:paraId="7D1776B7" w14:textId="77777777" w:rsidR="00F654EF" w:rsidRPr="00635BF9" w:rsidRDefault="00F654EF" w:rsidP="00F654EF">
                            <w:pPr>
                              <w:snapToGrid w:val="0"/>
                              <w:spacing w:after="0"/>
                              <w:jc w:val="both"/>
                              <w:rPr>
                                <w:rFonts w:ascii="Times New Roman" w:eastAsia="Batang" w:hAnsi="Times New Roman" w:cs="Times New Roman"/>
                                <w:szCs w:val="20"/>
                                <w:highlight w:val="green"/>
                                <w:lang w:val="en-GB"/>
                              </w:rPr>
                            </w:pPr>
                            <w:r w:rsidRPr="00635BF9">
                              <w:rPr>
                                <w:rFonts w:ascii="Times New Roman" w:eastAsia="Batang" w:hAnsi="Times New Roman" w:cs="Times New Roman"/>
                                <w:b/>
                                <w:szCs w:val="20"/>
                                <w:highlight w:val="green"/>
                                <w:lang w:val="en-GB"/>
                              </w:rPr>
                              <w:t>Agreement</w:t>
                            </w:r>
                          </w:p>
                          <w:p w14:paraId="083249DD" w14:textId="77777777" w:rsidR="00F654EF" w:rsidRPr="00635BF9" w:rsidRDefault="00F654EF" w:rsidP="00F654EF">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In RAN1#104-e, on the Rel-17 L1-based TCI state update (beam indication) for the unified TCI framework, interested companies are to provide the following:</w:t>
                            </w:r>
                          </w:p>
                          <w:p w14:paraId="0C484EAC" w14:textId="77777777" w:rsidR="00F654EF" w:rsidRPr="00635BF9" w:rsidRDefault="00F654EF" w:rsidP="00F654EF">
                            <w:pPr>
                              <w:numPr>
                                <w:ilvl w:val="0"/>
                                <w:numId w:val="34"/>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How to use DCI formats 1_1 and 1_2 for UL-only (in case of separate DL/UL) TCI state update (beam indication) </w:t>
                            </w:r>
                          </w:p>
                          <w:p w14:paraId="4CFED67A" w14:textId="77777777" w:rsidR="00F654EF" w:rsidRPr="00635BF9" w:rsidRDefault="00F654EF" w:rsidP="00F654EF">
                            <w:pPr>
                              <w:numPr>
                                <w:ilvl w:val="1"/>
                                <w:numId w:val="34"/>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Note: The agreement implies that DCI formats 1_1 and 1_2 can be used for UL-only TCI state update beam indication). </w:t>
                            </w:r>
                          </w:p>
                          <w:p w14:paraId="6776F6C9" w14:textId="77777777" w:rsidR="00F654EF" w:rsidRPr="00635BF9" w:rsidRDefault="00F654EF" w:rsidP="00F654EF">
                            <w:pPr>
                              <w:numPr>
                                <w:ilvl w:val="1"/>
                                <w:numId w:val="34"/>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zh-CN"/>
                              </w:rPr>
                              <w:t>FFS: Using DCI format 1_1 and 1_2 without DL assignment, and with a new acknowledgment mechanism directly in response to decoding DCI format 1_1 and 1_2, e.g., analogous to SPS PDSCH release</w:t>
                            </w:r>
                          </w:p>
                          <w:p w14:paraId="59E66F82" w14:textId="77777777" w:rsidR="00F654EF" w:rsidRPr="00635BF9" w:rsidRDefault="00F654EF" w:rsidP="00F654EF">
                            <w:pPr>
                              <w:numPr>
                                <w:ilvl w:val="0"/>
                                <w:numId w:val="34"/>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Whether/how to support at least one additional DCI format dedicated for UL-only beam indication (in case of separate DL/UL), including:</w:t>
                            </w:r>
                          </w:p>
                          <w:p w14:paraId="7850BD0B" w14:textId="77777777" w:rsidR="00F654EF" w:rsidRPr="00635BF9" w:rsidRDefault="00F654EF" w:rsidP="00F654EF">
                            <w:pPr>
                              <w:numPr>
                                <w:ilvl w:val="1"/>
                                <w:numId w:val="34"/>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Whether the format can also be used for DL-only beam indication (in case of separate DL/UL) and joint DL/UL beam indication</w:t>
                            </w:r>
                          </w:p>
                          <w:p w14:paraId="4C7141A3" w14:textId="77777777" w:rsidR="00F654EF" w:rsidRPr="00635BF9" w:rsidRDefault="00F654EF" w:rsidP="00F654EF">
                            <w:pPr>
                              <w:numPr>
                                <w:ilvl w:val="1"/>
                                <w:numId w:val="34"/>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Whether it is a “brand new” format or based on some extension of the existing DCI formats other than 1_1 and 1_2 (e.g. 1_0, 0_0, 0_1, or 0_2)</w:t>
                            </w:r>
                          </w:p>
                          <w:p w14:paraId="2FEFE0C2" w14:textId="77777777" w:rsidR="00F654EF" w:rsidRPr="00635BF9" w:rsidRDefault="00F654EF" w:rsidP="00F654EF">
                            <w:pPr>
                              <w:numPr>
                                <w:ilvl w:val="2"/>
                                <w:numId w:val="34"/>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If UL-related DCI is used, whether it is accompanied with UL grant or not</w:t>
                            </w:r>
                          </w:p>
                          <w:p w14:paraId="208E4473" w14:textId="0CE4BEAE" w:rsidR="00F654EF" w:rsidRDefault="00F654EF" w:rsidP="00F654EF">
                            <w:pPr>
                              <w:numPr>
                                <w:ilvl w:val="1"/>
                                <w:numId w:val="34"/>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Acknowledgment mechanism</w:t>
                            </w:r>
                          </w:p>
                          <w:p w14:paraId="3E73D6F4" w14:textId="77777777" w:rsidR="00F654EF" w:rsidRDefault="00F654EF" w:rsidP="00F654EF">
                            <w:pPr>
                              <w:numPr>
                                <w:ilvl w:val="1"/>
                                <w:numId w:val="34"/>
                              </w:numPr>
                              <w:snapToGrid w:val="0"/>
                              <w:spacing w:after="0" w:line="240" w:lineRule="auto"/>
                              <w:contextualSpacing/>
                              <w:jc w:val="both"/>
                              <w:rPr>
                                <w:rFonts w:ascii="Times New Roman" w:eastAsia="Batang" w:hAnsi="Times New Roman" w:cs="Times New Roman"/>
                                <w:szCs w:val="20"/>
                                <w:lang w:val="en-GB" w:eastAsia="x-none"/>
                              </w:rPr>
                            </w:pPr>
                          </w:p>
                          <w:p w14:paraId="616A8A2B" w14:textId="77777777" w:rsidR="00F654EF" w:rsidRPr="00635BF9" w:rsidRDefault="00F654EF" w:rsidP="00F654EF">
                            <w:pPr>
                              <w:spacing w:after="0"/>
                              <w:rPr>
                                <w:rFonts w:ascii="Times New Roman" w:eastAsia="Batang" w:hAnsi="Times New Roman" w:cs="Times New Roman"/>
                                <w:b/>
                                <w:bCs/>
                                <w:szCs w:val="20"/>
                                <w:highlight w:val="green"/>
                                <w:lang w:val="en-GB"/>
                              </w:rPr>
                            </w:pPr>
                            <w:r w:rsidRPr="00635BF9">
                              <w:rPr>
                                <w:rFonts w:ascii="Times New Roman" w:eastAsia="Batang" w:hAnsi="Times New Roman" w:cs="Times New Roman"/>
                                <w:b/>
                                <w:bCs/>
                                <w:szCs w:val="20"/>
                                <w:highlight w:val="green"/>
                                <w:lang w:val="en-GB"/>
                              </w:rPr>
                              <w:t>Agreement</w:t>
                            </w:r>
                          </w:p>
                          <w:p w14:paraId="4F4370D5" w14:textId="77777777" w:rsidR="00F654EF" w:rsidRPr="00635BF9" w:rsidRDefault="00F654EF" w:rsidP="00F654EF">
                            <w:pPr>
                              <w:snapToGrid w:val="0"/>
                              <w:spacing w:after="0"/>
                              <w:jc w:val="both"/>
                              <w:rPr>
                                <w:rFonts w:ascii="Times New Roman" w:eastAsia="Batang" w:hAnsi="Times New Roman" w:cs="Times New Roman"/>
                                <w:bCs/>
                                <w:szCs w:val="20"/>
                                <w:lang w:val="en-GB"/>
                              </w:rPr>
                            </w:pPr>
                            <w:r w:rsidRPr="00635BF9">
                              <w:rPr>
                                <w:rFonts w:ascii="Times New Roman" w:eastAsia="Batang" w:hAnsi="Times New Roman" w:cs="Times New Roman"/>
                                <w:bCs/>
                                <w:szCs w:val="20"/>
                                <w:lang w:val="en-GB"/>
                              </w:rPr>
                              <w:t xml:space="preserve">On Rel.17 DCI-based beam indication: </w:t>
                            </w:r>
                          </w:p>
                          <w:p w14:paraId="694C73B8" w14:textId="77777777" w:rsidR="00F654EF" w:rsidRPr="00635BF9" w:rsidRDefault="00F654EF" w:rsidP="00F654EF">
                            <w:pPr>
                              <w:numPr>
                                <w:ilvl w:val="0"/>
                                <w:numId w:val="37"/>
                              </w:numPr>
                              <w:snapToGrid w:val="0"/>
                              <w:spacing w:after="0" w:line="240" w:lineRule="auto"/>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Regarding application time of the beam indication: if beam indication is received, down-select from the following:</w:t>
                            </w:r>
                          </w:p>
                          <w:p w14:paraId="3500399A" w14:textId="77777777" w:rsidR="00F654EF" w:rsidRPr="00635BF9" w:rsidRDefault="00F654EF" w:rsidP="00F654EF">
                            <w:pPr>
                              <w:numPr>
                                <w:ilvl w:val="1"/>
                                <w:numId w:val="37"/>
                              </w:numPr>
                              <w:snapToGrid w:val="0"/>
                              <w:spacing w:after="0" w:line="240" w:lineRule="auto"/>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 xml:space="preserve">Alt1: </w:t>
                            </w:r>
                            <w:bookmarkStart w:id="36" w:name="_Hlk61430793"/>
                            <w:r w:rsidRPr="00635BF9">
                              <w:rPr>
                                <w:rFonts w:ascii="Times New Roman" w:eastAsia="Batang" w:hAnsi="Times New Roman" w:cs="Times New Roman"/>
                                <w:szCs w:val="20"/>
                                <w:lang w:val="en-GB"/>
                              </w:rPr>
                              <w:t>the first slot that is at least X ms or Y symbols after the DCI with the joint or separate DL/UL beam indication</w:t>
                            </w:r>
                            <w:bookmarkEnd w:id="36"/>
                          </w:p>
                          <w:p w14:paraId="64AEA807" w14:textId="77777777" w:rsidR="00F654EF" w:rsidRPr="00635BF9" w:rsidRDefault="00F654EF" w:rsidP="00F654EF">
                            <w:pPr>
                              <w:numPr>
                                <w:ilvl w:val="1"/>
                                <w:numId w:val="37"/>
                              </w:numPr>
                              <w:snapToGrid w:val="0"/>
                              <w:spacing w:after="0" w:line="240" w:lineRule="auto"/>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 xml:space="preserve">Alt2: the first slot that is at least X ms or Y symbols after the acknowledgment of the joint or separate DL/UL beam indication </w:t>
                            </w:r>
                          </w:p>
                          <w:p w14:paraId="1B7101A4" w14:textId="77777777" w:rsidR="00F654EF" w:rsidRPr="00635BF9" w:rsidRDefault="00F654EF" w:rsidP="00F654EF">
                            <w:pPr>
                              <w:numPr>
                                <w:ilvl w:val="1"/>
                                <w:numId w:val="37"/>
                              </w:numPr>
                              <w:snapToGrid w:val="0"/>
                              <w:spacing w:after="0" w:line="240" w:lineRule="auto"/>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FFS: whether any existing timing defined for DCI based TCI/spatial relation update can be used for X/Y</w:t>
                            </w:r>
                          </w:p>
                          <w:p w14:paraId="5958B609" w14:textId="77777777" w:rsidR="00F654EF" w:rsidRPr="00635BF9" w:rsidRDefault="00F654EF" w:rsidP="00F654EF">
                            <w:pPr>
                              <w:numPr>
                                <w:ilvl w:val="0"/>
                                <w:numId w:val="37"/>
                              </w:numPr>
                              <w:snapToGrid w:val="0"/>
                              <w:spacing w:after="0" w:line="240" w:lineRule="auto"/>
                              <w:jc w:val="both"/>
                              <w:rPr>
                                <w:rFonts w:ascii="Times New Roman" w:eastAsia="Batang" w:hAnsi="Times New Roman" w:cs="Times New Roman"/>
                                <w:szCs w:val="20"/>
                                <w:lang w:val="en-GB"/>
                              </w:rPr>
                            </w:pPr>
                            <w:r w:rsidRPr="00635BF9">
                              <w:rPr>
                                <w:rFonts w:ascii="Times New Roman" w:eastAsia="Batang" w:hAnsi="Times New Roman" w:cs="Times New Roman"/>
                                <w:bCs/>
                                <w:szCs w:val="20"/>
                                <w:lang w:val="en-GB"/>
                              </w:rPr>
                              <w:t xml:space="preserve">FFS: </w:t>
                            </w:r>
                            <w:r w:rsidRPr="00635BF9">
                              <w:rPr>
                                <w:rFonts w:ascii="Times New Roman" w:eastAsia="Batang" w:hAnsi="Times New Roman" w:cs="Times New Roman"/>
                                <w:szCs w:val="20"/>
                                <w:lang w:val="en-GB"/>
                              </w:rPr>
                              <w:t>When to apply the minimum indication delay (e.g., when the newly indicated beam is different with the previously indicated beam)</w:t>
                            </w:r>
                          </w:p>
                          <w:p w14:paraId="571B5216" w14:textId="77777777" w:rsidR="00A645FD" w:rsidRPr="00635BF9" w:rsidRDefault="00A645FD" w:rsidP="004152EC">
                            <w:pPr>
                              <w:snapToGrid w:val="0"/>
                              <w:spacing w:after="0"/>
                              <w:jc w:val="both"/>
                              <w:rPr>
                                <w:rFonts w:ascii="Times New Roman" w:eastAsia="Batang" w:hAnsi="Times New Roman" w:cs="Times New Roman"/>
                                <w:b/>
                                <w:bCs/>
                                <w:szCs w:val="20"/>
                                <w:highlight w:val="green"/>
                                <w:lang w:val="en-GB"/>
                              </w:rPr>
                            </w:pPr>
                            <w:r w:rsidRPr="00635BF9">
                              <w:rPr>
                                <w:rFonts w:ascii="Times New Roman" w:eastAsia="Batang" w:hAnsi="Times New Roman" w:cs="Times New Roman"/>
                                <w:b/>
                                <w:bCs/>
                                <w:szCs w:val="20"/>
                                <w:highlight w:val="green"/>
                                <w:lang w:val="en-GB"/>
                              </w:rPr>
                              <w:t>Agreement</w:t>
                            </w:r>
                          </w:p>
                          <w:p w14:paraId="4E28FEE4" w14:textId="77777777" w:rsidR="00A645FD" w:rsidRPr="00635BF9" w:rsidRDefault="00A645FD" w:rsidP="004152EC">
                            <w:pPr>
                              <w:snapToGrid w:val="0"/>
                              <w:spacing w:after="0"/>
                              <w:jc w:val="both"/>
                              <w:rPr>
                                <w:rFonts w:ascii="Times New Roman" w:eastAsia="Batang" w:hAnsi="Times New Roman" w:cs="Times New Roman"/>
                                <w:bCs/>
                                <w:szCs w:val="20"/>
                                <w:lang w:val="en-GB"/>
                              </w:rPr>
                            </w:pPr>
                            <w:r w:rsidRPr="00635BF9">
                              <w:rPr>
                                <w:rFonts w:ascii="Times New Roman" w:eastAsia="Batang" w:hAnsi="Times New Roman" w:cs="Times New Roman"/>
                                <w:bCs/>
                                <w:szCs w:val="20"/>
                                <w:lang w:val="en-GB"/>
                              </w:rPr>
                              <w:t xml:space="preserve">On Rel.17 DCI-based beam indication, </w:t>
                            </w:r>
                            <w:r w:rsidRPr="00635BF9">
                              <w:rPr>
                                <w:rFonts w:ascii="Times New Roman" w:eastAsia="Times New Roman" w:hAnsi="Times New Roman" w:cs="Times New Roman"/>
                                <w:szCs w:val="20"/>
                                <w:lang w:val="en-GB"/>
                              </w:rPr>
                              <w:t>the beam application time is to be down-selected or modified from the following:</w:t>
                            </w:r>
                          </w:p>
                          <w:p w14:paraId="15C7560F" w14:textId="77777777" w:rsidR="00A645FD" w:rsidRPr="00635BF9" w:rsidRDefault="00A645FD" w:rsidP="004152EC">
                            <w:pPr>
                              <w:numPr>
                                <w:ilvl w:val="0"/>
                                <w:numId w:val="37"/>
                              </w:numPr>
                              <w:snapToGrid w:val="0"/>
                              <w:spacing w:after="0" w:line="240" w:lineRule="auto"/>
                              <w:jc w:val="both"/>
                              <w:rPr>
                                <w:rFonts w:ascii="Times New Roman" w:eastAsia="Times New Roman" w:hAnsi="Times New Roman" w:cs="Times New Roman"/>
                                <w:szCs w:val="20"/>
                                <w:lang w:val="en-GB" w:eastAsia="x-none"/>
                              </w:rPr>
                            </w:pPr>
                            <w:r w:rsidRPr="00635BF9">
                              <w:rPr>
                                <w:rFonts w:ascii="Times New Roman" w:eastAsia="Times New Roman" w:hAnsi="Times New Roman" w:cs="Times New Roman"/>
                                <w:szCs w:val="20"/>
                                <w:lang w:val="en-GB" w:eastAsia="x-none"/>
                              </w:rPr>
                              <w:t>Alt1: The beam application time can be configured by the gNB based on UE capability</w:t>
                            </w:r>
                          </w:p>
                          <w:p w14:paraId="1B3D4023" w14:textId="77777777" w:rsidR="00A645FD" w:rsidRPr="00635BF9" w:rsidRDefault="00A645FD" w:rsidP="004152EC">
                            <w:pPr>
                              <w:numPr>
                                <w:ilvl w:val="1"/>
                                <w:numId w:val="37"/>
                              </w:numPr>
                              <w:snapToGrid w:val="0"/>
                              <w:spacing w:after="0" w:line="240" w:lineRule="auto"/>
                              <w:jc w:val="both"/>
                              <w:rPr>
                                <w:rFonts w:ascii="Times New Roman" w:eastAsia="Times New Roman" w:hAnsi="Times New Roman" w:cs="Times New Roman"/>
                                <w:szCs w:val="20"/>
                                <w:lang w:val="en-GB" w:eastAsia="x-none"/>
                              </w:rPr>
                            </w:pPr>
                            <w:r w:rsidRPr="00635BF9">
                              <w:rPr>
                                <w:rFonts w:ascii="Times New Roman" w:eastAsia="Times New Roman" w:hAnsi="Times New Roman" w:cs="Times New Roman"/>
                                <w:szCs w:val="20"/>
                                <w:lang w:val="en-GB" w:eastAsia="x-none"/>
                              </w:rPr>
                              <w:t>Support a UE capability for the minimum value of beam application time</w:t>
                            </w:r>
                          </w:p>
                          <w:p w14:paraId="17D24B85" w14:textId="77777777" w:rsidR="00A645FD" w:rsidRPr="00635BF9" w:rsidRDefault="00A645FD" w:rsidP="004152EC">
                            <w:pPr>
                              <w:numPr>
                                <w:ilvl w:val="1"/>
                                <w:numId w:val="37"/>
                              </w:numPr>
                              <w:snapToGrid w:val="0"/>
                              <w:spacing w:after="0" w:line="240" w:lineRule="auto"/>
                              <w:jc w:val="both"/>
                              <w:rPr>
                                <w:rFonts w:ascii="Times New Roman" w:eastAsia="Times New Roman" w:hAnsi="Times New Roman" w:cs="Times New Roman"/>
                                <w:szCs w:val="20"/>
                                <w:lang w:val="en-GB" w:eastAsia="x-none"/>
                              </w:rPr>
                            </w:pPr>
                            <w:r w:rsidRPr="00635BF9">
                              <w:rPr>
                                <w:rFonts w:ascii="Times New Roman" w:eastAsia="Times New Roman" w:hAnsi="Times New Roman" w:cs="Times New Roman"/>
                                <w:szCs w:val="20"/>
                                <w:lang w:val="en-GB" w:eastAsia="x-none"/>
                              </w:rPr>
                              <w:t xml:space="preserve">FFS: the exact minimum values of beam application time supported by UE </w:t>
                            </w:r>
                          </w:p>
                          <w:p w14:paraId="79A7E7C2" w14:textId="77777777" w:rsidR="00A645FD" w:rsidRPr="00635BF9" w:rsidRDefault="00A645FD" w:rsidP="004152EC">
                            <w:pPr>
                              <w:numPr>
                                <w:ilvl w:val="1"/>
                                <w:numId w:val="37"/>
                              </w:numPr>
                              <w:snapToGrid w:val="0"/>
                              <w:spacing w:after="0" w:line="240" w:lineRule="auto"/>
                              <w:jc w:val="both"/>
                              <w:rPr>
                                <w:rFonts w:ascii="Times New Roman" w:eastAsia="Times New Roman" w:hAnsi="Times New Roman" w:cs="Times New Roman"/>
                                <w:szCs w:val="20"/>
                                <w:lang w:val="en-GB" w:eastAsia="x-none"/>
                              </w:rPr>
                            </w:pPr>
                            <w:r w:rsidRPr="00635BF9">
                              <w:rPr>
                                <w:rFonts w:ascii="Times New Roman" w:eastAsia="Times New Roman" w:hAnsi="Times New Roman" w:cs="Times New Roman"/>
                                <w:szCs w:val="20"/>
                                <w:lang w:val="en-GB" w:eastAsia="x-none"/>
                              </w:rPr>
                              <w:t>FFS: whether existing UE capability can be reused as this UE capability.</w:t>
                            </w:r>
                          </w:p>
                          <w:p w14:paraId="3972F164" w14:textId="77777777" w:rsidR="00A645FD" w:rsidRPr="00635BF9" w:rsidRDefault="00A645FD" w:rsidP="004152EC">
                            <w:pPr>
                              <w:numPr>
                                <w:ilvl w:val="1"/>
                                <w:numId w:val="37"/>
                              </w:numPr>
                              <w:snapToGrid w:val="0"/>
                              <w:spacing w:after="0" w:line="240" w:lineRule="auto"/>
                              <w:jc w:val="both"/>
                              <w:rPr>
                                <w:rFonts w:ascii="Times New Roman" w:eastAsia="Times New Roman" w:hAnsi="Times New Roman" w:cs="Times New Roman"/>
                                <w:szCs w:val="20"/>
                                <w:lang w:val="en-GB" w:eastAsia="x-none"/>
                              </w:rPr>
                            </w:pPr>
                            <w:r w:rsidRPr="00635BF9">
                              <w:rPr>
                                <w:rFonts w:ascii="Times New Roman" w:eastAsia="Times New Roman" w:hAnsi="Times New Roman" w:cs="Times New Roman"/>
                                <w:szCs w:val="20"/>
                                <w:lang w:val="en-GB" w:eastAsia="x-none"/>
                              </w:rPr>
                              <w:t>FFS: whether different beam application time values are supported for uplink and downlink</w:t>
                            </w:r>
                          </w:p>
                          <w:p w14:paraId="09A3632C" w14:textId="77777777" w:rsidR="00A645FD" w:rsidRPr="00635BF9" w:rsidRDefault="00A645FD" w:rsidP="004152EC">
                            <w:pPr>
                              <w:numPr>
                                <w:ilvl w:val="1"/>
                                <w:numId w:val="37"/>
                              </w:numPr>
                              <w:snapToGrid w:val="0"/>
                              <w:spacing w:after="0" w:line="240" w:lineRule="auto"/>
                              <w:jc w:val="both"/>
                              <w:rPr>
                                <w:rFonts w:ascii="Times New Roman" w:eastAsia="Times New Roman" w:hAnsi="Times New Roman" w:cs="Times New Roman"/>
                                <w:szCs w:val="20"/>
                                <w:lang w:val="en-GB" w:eastAsia="x-none"/>
                              </w:rPr>
                            </w:pPr>
                            <w:r w:rsidRPr="00635BF9">
                              <w:rPr>
                                <w:rFonts w:ascii="Times New Roman" w:eastAsia="Times New Roman" w:hAnsi="Times New Roman" w:cs="Times New Roman"/>
                                <w:szCs w:val="20"/>
                                <w:lang w:val="en-GB" w:eastAsia="x-none"/>
                              </w:rPr>
                              <w:t>FFS: whether UE capability needs to be introduced for the maximum value of beam application time</w:t>
                            </w:r>
                          </w:p>
                          <w:p w14:paraId="5C203A4B" w14:textId="77777777" w:rsidR="00A645FD" w:rsidRPr="00635BF9" w:rsidRDefault="00A645FD" w:rsidP="004152EC">
                            <w:pPr>
                              <w:numPr>
                                <w:ilvl w:val="0"/>
                                <w:numId w:val="37"/>
                              </w:numPr>
                              <w:snapToGrid w:val="0"/>
                              <w:spacing w:after="0" w:line="240" w:lineRule="auto"/>
                              <w:jc w:val="both"/>
                              <w:rPr>
                                <w:rFonts w:ascii="Times New Roman" w:eastAsia="Times New Roman" w:hAnsi="Times New Roman" w:cs="Times New Roman"/>
                                <w:szCs w:val="20"/>
                                <w:lang w:val="en-GB" w:eastAsia="x-none"/>
                              </w:rPr>
                            </w:pPr>
                            <w:r w:rsidRPr="00635BF9">
                              <w:rPr>
                                <w:rFonts w:ascii="Times New Roman" w:eastAsia="Times New Roman" w:hAnsi="Times New Roman" w:cs="Times New Roman"/>
                                <w:szCs w:val="20"/>
                                <w:lang w:val="en-GB" w:eastAsia="x-none"/>
                              </w:rPr>
                              <w:t>Alt2: The beam application time is fixed and defined in specification</w:t>
                            </w:r>
                          </w:p>
                          <w:p w14:paraId="5B6928A2" w14:textId="77777777" w:rsidR="00A645FD" w:rsidRPr="00635BF9" w:rsidRDefault="00A645FD" w:rsidP="004152EC">
                            <w:pPr>
                              <w:numPr>
                                <w:ilvl w:val="0"/>
                                <w:numId w:val="37"/>
                              </w:numPr>
                              <w:snapToGrid w:val="0"/>
                              <w:spacing w:after="0" w:line="240" w:lineRule="auto"/>
                              <w:jc w:val="both"/>
                              <w:rPr>
                                <w:rFonts w:ascii="Times New Roman" w:eastAsia="Times New Roman" w:hAnsi="Times New Roman" w:cs="Times New Roman"/>
                                <w:szCs w:val="20"/>
                                <w:lang w:val="en-GB" w:eastAsia="x-none"/>
                              </w:rPr>
                            </w:pPr>
                            <w:r w:rsidRPr="00635BF9">
                              <w:rPr>
                                <w:rFonts w:ascii="Times New Roman" w:eastAsia="Times New Roman" w:hAnsi="Times New Roman" w:cs="Times New Roman"/>
                                <w:szCs w:val="20"/>
                                <w:lang w:val="en-GB" w:eastAsia="x-none"/>
                              </w:rPr>
                              <w:t>Alt3: The beam application time can be configured by the gNB where the minimum value of beam application time is fixed and defined in specification</w:t>
                            </w:r>
                          </w:p>
                          <w:p w14:paraId="25440BB1" w14:textId="66DA09E5" w:rsidR="00A645FD" w:rsidRPr="001D6204" w:rsidRDefault="00A645FD" w:rsidP="004152EC">
                            <w:pPr>
                              <w:numPr>
                                <w:ilvl w:val="0"/>
                                <w:numId w:val="37"/>
                              </w:numPr>
                              <w:snapToGrid w:val="0"/>
                              <w:spacing w:after="0" w:line="240" w:lineRule="auto"/>
                              <w:jc w:val="both"/>
                              <w:rPr>
                                <w:rFonts w:ascii="Times New Roman" w:eastAsia="Times New Roman" w:hAnsi="Times New Roman" w:cs="Times New Roman"/>
                                <w:szCs w:val="20"/>
                                <w:lang w:val="en-GB" w:eastAsia="x-none"/>
                              </w:rPr>
                            </w:pPr>
                            <w:r w:rsidRPr="00635BF9">
                              <w:rPr>
                                <w:rFonts w:ascii="Times New Roman" w:eastAsia="Times New Roman" w:hAnsi="Times New Roman" w:cs="Times New Roman"/>
                                <w:szCs w:val="20"/>
                                <w:lang w:val="en-GB" w:eastAsia="x-none"/>
                              </w:rPr>
                              <w:t>Consider multi-panel UE, layer 1/2 inter-cell cases, carrier aggregation aspects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rto="http://schemas.microsoft.com/office/word/2006/arto">
            <w:pict>
              <v:shape w14:anchorId="078BBF6E" id="Text Box 1" o:spid="_x0000_s1033" type="#_x0000_t202" style="width:508.5pt;height:1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" fillcolor="white [3201]" strokeweight=".5pt">
                <v:textbox style="mso-fit-shape-to-text:t">
                  <w:txbxContent>
                    <w:p w14:paraId="28D038AF" w14:textId="77777777" w:rsidR="00A645FD" w:rsidRPr="00635BF9" w:rsidRDefault="00A645FD" w:rsidP="004152EC">
                      <w:pPr>
                        <w:spacing w:after="0"/>
                        <w:rPr>
                          <w:rFonts w:ascii="Times New Roman" w:eastAsia="Batang" w:hAnsi="Times New Roman" w:cs="Times New Roman"/>
                          <w:color w:val="1F497D"/>
                          <w:szCs w:val="20"/>
                          <w:lang w:val="en-GB"/>
                        </w:rPr>
                      </w:pPr>
                    </w:p>
                    <w:p w14:paraId="7D1776B7" w14:textId="77777777" w:rsidR="00F654EF" w:rsidRPr="00635BF9" w:rsidRDefault="00F654EF" w:rsidP="00F654EF">
                      <w:pPr>
                        <w:snapToGrid w:val="0"/>
                        <w:spacing w:after="0"/>
                        <w:jc w:val="both"/>
                        <w:rPr>
                          <w:rFonts w:ascii="Times New Roman" w:eastAsia="Batang" w:hAnsi="Times New Roman" w:cs="Times New Roman"/>
                          <w:szCs w:val="20"/>
                          <w:highlight w:val="green"/>
                          <w:lang w:val="en-GB"/>
                        </w:rPr>
                      </w:pPr>
                      <w:r w:rsidRPr="00635BF9">
                        <w:rPr>
                          <w:rFonts w:ascii="Times New Roman" w:eastAsia="Batang" w:hAnsi="Times New Roman" w:cs="Times New Roman"/>
                          <w:b/>
                          <w:szCs w:val="20"/>
                          <w:highlight w:val="green"/>
                          <w:lang w:val="en-GB"/>
                        </w:rPr>
                        <w:t>Agreement</w:t>
                      </w:r>
                    </w:p>
                    <w:p w14:paraId="083249DD" w14:textId="77777777" w:rsidR="00F654EF" w:rsidRPr="00635BF9" w:rsidRDefault="00F654EF" w:rsidP="00F654EF">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In RAN1#104-e, on the Rel-17 L1-based TCI state update (beam indication) for the unified TCI framework, interested companies are to provide the following:</w:t>
                      </w:r>
                    </w:p>
                    <w:p w14:paraId="0C484EAC" w14:textId="77777777" w:rsidR="00F654EF" w:rsidRPr="00635BF9" w:rsidRDefault="00F654EF" w:rsidP="00F654EF">
                      <w:pPr>
                        <w:numPr>
                          <w:ilvl w:val="0"/>
                          <w:numId w:val="34"/>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How to use DCI formats 1_1 and 1_2 for UL-only (in case of separate DL/UL) TCI state update (beam indication) </w:t>
                      </w:r>
                    </w:p>
                    <w:p w14:paraId="4CFED67A" w14:textId="77777777" w:rsidR="00F654EF" w:rsidRPr="00635BF9" w:rsidRDefault="00F654EF" w:rsidP="00F654EF">
                      <w:pPr>
                        <w:numPr>
                          <w:ilvl w:val="1"/>
                          <w:numId w:val="34"/>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Note: The agreement implies that DCI formats 1_1 and 1_2 can be used for UL-only TCI state update beam indication). </w:t>
                      </w:r>
                    </w:p>
                    <w:p w14:paraId="6776F6C9" w14:textId="77777777" w:rsidR="00F654EF" w:rsidRPr="00635BF9" w:rsidRDefault="00F654EF" w:rsidP="00F654EF">
                      <w:pPr>
                        <w:numPr>
                          <w:ilvl w:val="1"/>
                          <w:numId w:val="34"/>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zh-CN"/>
                        </w:rPr>
                        <w:t>FFS: Using DCI format 1_1 and 1_2 without DL assignment, and with a new acknowledgment mechanism directly in response to decoding DCI format 1_1 and 1_2, e.g., analogous to SPS PDSCH release</w:t>
                      </w:r>
                    </w:p>
                    <w:p w14:paraId="59E66F82" w14:textId="77777777" w:rsidR="00F654EF" w:rsidRPr="00635BF9" w:rsidRDefault="00F654EF" w:rsidP="00F654EF">
                      <w:pPr>
                        <w:numPr>
                          <w:ilvl w:val="0"/>
                          <w:numId w:val="34"/>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Whether/how to support at least one additional DCI format dedicated for UL-only beam indication (in case of separate DL/UL), including:</w:t>
                      </w:r>
                    </w:p>
                    <w:p w14:paraId="7850BD0B" w14:textId="77777777" w:rsidR="00F654EF" w:rsidRPr="00635BF9" w:rsidRDefault="00F654EF" w:rsidP="00F654EF">
                      <w:pPr>
                        <w:numPr>
                          <w:ilvl w:val="1"/>
                          <w:numId w:val="34"/>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Whether the format can also be used for DL-only beam indication (in case of separate DL/UL) and joint DL/UL beam indication</w:t>
                      </w:r>
                    </w:p>
                    <w:p w14:paraId="4C7141A3" w14:textId="77777777" w:rsidR="00F654EF" w:rsidRPr="00635BF9" w:rsidRDefault="00F654EF" w:rsidP="00F654EF">
                      <w:pPr>
                        <w:numPr>
                          <w:ilvl w:val="1"/>
                          <w:numId w:val="34"/>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Whether it is a “brand new” format or based on some extension of the existing DCI formats other than 1_1 and 1_2 (e.g. 1_0, 0_0, 0_1, or 0_2)</w:t>
                      </w:r>
                    </w:p>
                    <w:p w14:paraId="2FEFE0C2" w14:textId="77777777" w:rsidR="00F654EF" w:rsidRPr="00635BF9" w:rsidRDefault="00F654EF" w:rsidP="00F654EF">
                      <w:pPr>
                        <w:numPr>
                          <w:ilvl w:val="2"/>
                          <w:numId w:val="34"/>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If UL-related DCI is used, whether it is accompanied with UL grant or not</w:t>
                      </w:r>
                    </w:p>
                    <w:p w14:paraId="208E4473" w14:textId="0CE4BEAE" w:rsidR="00F654EF" w:rsidRDefault="00F654EF" w:rsidP="00F654EF">
                      <w:pPr>
                        <w:numPr>
                          <w:ilvl w:val="1"/>
                          <w:numId w:val="34"/>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Acknowledgment mechanism</w:t>
                      </w:r>
                    </w:p>
                    <w:p w14:paraId="3E73D6F4" w14:textId="77777777" w:rsidR="00F654EF" w:rsidRDefault="00F654EF" w:rsidP="00F654EF">
                      <w:pPr>
                        <w:numPr>
                          <w:ilvl w:val="1"/>
                          <w:numId w:val="34"/>
                        </w:numPr>
                        <w:snapToGrid w:val="0"/>
                        <w:spacing w:after="0" w:line="240" w:lineRule="auto"/>
                        <w:contextualSpacing/>
                        <w:jc w:val="both"/>
                        <w:rPr>
                          <w:rFonts w:ascii="Times New Roman" w:eastAsia="Batang" w:hAnsi="Times New Roman" w:cs="Times New Roman"/>
                          <w:szCs w:val="20"/>
                          <w:lang w:val="en-GB" w:eastAsia="x-none"/>
                        </w:rPr>
                      </w:pPr>
                    </w:p>
                    <w:p w14:paraId="616A8A2B" w14:textId="77777777" w:rsidR="00F654EF" w:rsidRPr="00635BF9" w:rsidRDefault="00F654EF" w:rsidP="00F654EF">
                      <w:pPr>
                        <w:spacing w:after="0"/>
                        <w:rPr>
                          <w:rFonts w:ascii="Times New Roman" w:eastAsia="Batang" w:hAnsi="Times New Roman" w:cs="Times New Roman"/>
                          <w:b/>
                          <w:bCs/>
                          <w:szCs w:val="20"/>
                          <w:highlight w:val="green"/>
                          <w:lang w:val="en-GB"/>
                        </w:rPr>
                      </w:pPr>
                      <w:r w:rsidRPr="00635BF9">
                        <w:rPr>
                          <w:rFonts w:ascii="Times New Roman" w:eastAsia="Batang" w:hAnsi="Times New Roman" w:cs="Times New Roman"/>
                          <w:b/>
                          <w:bCs/>
                          <w:szCs w:val="20"/>
                          <w:highlight w:val="green"/>
                          <w:lang w:val="en-GB"/>
                        </w:rPr>
                        <w:t>Agreement</w:t>
                      </w:r>
                    </w:p>
                    <w:p w14:paraId="4F4370D5" w14:textId="77777777" w:rsidR="00F654EF" w:rsidRPr="00635BF9" w:rsidRDefault="00F654EF" w:rsidP="00F654EF">
                      <w:pPr>
                        <w:snapToGrid w:val="0"/>
                        <w:spacing w:after="0"/>
                        <w:jc w:val="both"/>
                        <w:rPr>
                          <w:rFonts w:ascii="Times New Roman" w:eastAsia="Batang" w:hAnsi="Times New Roman" w:cs="Times New Roman"/>
                          <w:bCs/>
                          <w:szCs w:val="20"/>
                          <w:lang w:val="en-GB"/>
                        </w:rPr>
                      </w:pPr>
                      <w:r w:rsidRPr="00635BF9">
                        <w:rPr>
                          <w:rFonts w:ascii="Times New Roman" w:eastAsia="Batang" w:hAnsi="Times New Roman" w:cs="Times New Roman"/>
                          <w:bCs/>
                          <w:szCs w:val="20"/>
                          <w:lang w:val="en-GB"/>
                        </w:rPr>
                        <w:t xml:space="preserve">On Rel.17 DCI-based beam indication: </w:t>
                      </w:r>
                    </w:p>
                    <w:p w14:paraId="694C73B8" w14:textId="77777777" w:rsidR="00F654EF" w:rsidRPr="00635BF9" w:rsidRDefault="00F654EF" w:rsidP="00F654EF">
                      <w:pPr>
                        <w:numPr>
                          <w:ilvl w:val="0"/>
                          <w:numId w:val="37"/>
                        </w:numPr>
                        <w:snapToGrid w:val="0"/>
                        <w:spacing w:after="0" w:line="240" w:lineRule="auto"/>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Regarding application time of the beam indication: if beam indication is received, down-select from the following:</w:t>
                      </w:r>
                    </w:p>
                    <w:p w14:paraId="3500399A" w14:textId="77777777" w:rsidR="00F654EF" w:rsidRPr="00635BF9" w:rsidRDefault="00F654EF" w:rsidP="00F654EF">
                      <w:pPr>
                        <w:numPr>
                          <w:ilvl w:val="1"/>
                          <w:numId w:val="37"/>
                        </w:numPr>
                        <w:snapToGrid w:val="0"/>
                        <w:spacing w:after="0" w:line="240" w:lineRule="auto"/>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 xml:space="preserve">Alt1: </w:t>
                      </w:r>
                      <w:bookmarkStart w:id="37" w:name="_Hlk61430793"/>
                      <w:r w:rsidRPr="00635BF9">
                        <w:rPr>
                          <w:rFonts w:ascii="Times New Roman" w:eastAsia="Batang" w:hAnsi="Times New Roman" w:cs="Times New Roman"/>
                          <w:szCs w:val="20"/>
                          <w:lang w:val="en-GB"/>
                        </w:rPr>
                        <w:t>the first slot that is at least X ms or Y symbols after the DCI with the joint or separate DL/UL beam indication</w:t>
                      </w:r>
                      <w:bookmarkEnd w:id="37"/>
                    </w:p>
                    <w:p w14:paraId="64AEA807" w14:textId="77777777" w:rsidR="00F654EF" w:rsidRPr="00635BF9" w:rsidRDefault="00F654EF" w:rsidP="00F654EF">
                      <w:pPr>
                        <w:numPr>
                          <w:ilvl w:val="1"/>
                          <w:numId w:val="37"/>
                        </w:numPr>
                        <w:snapToGrid w:val="0"/>
                        <w:spacing w:after="0" w:line="240" w:lineRule="auto"/>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 xml:space="preserve">Alt2: the first slot that is at least X ms or Y symbols after the acknowledgment of the joint or separate DL/UL beam indication </w:t>
                      </w:r>
                    </w:p>
                    <w:p w14:paraId="1B7101A4" w14:textId="77777777" w:rsidR="00F654EF" w:rsidRPr="00635BF9" w:rsidRDefault="00F654EF" w:rsidP="00F654EF">
                      <w:pPr>
                        <w:numPr>
                          <w:ilvl w:val="1"/>
                          <w:numId w:val="37"/>
                        </w:numPr>
                        <w:snapToGrid w:val="0"/>
                        <w:spacing w:after="0" w:line="240" w:lineRule="auto"/>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FFS: whether any existing timing defined for DCI based TCI/spatial relation update can be used for X/Y</w:t>
                      </w:r>
                    </w:p>
                    <w:p w14:paraId="5958B609" w14:textId="77777777" w:rsidR="00F654EF" w:rsidRPr="00635BF9" w:rsidRDefault="00F654EF" w:rsidP="00F654EF">
                      <w:pPr>
                        <w:numPr>
                          <w:ilvl w:val="0"/>
                          <w:numId w:val="37"/>
                        </w:numPr>
                        <w:snapToGrid w:val="0"/>
                        <w:spacing w:after="0" w:line="240" w:lineRule="auto"/>
                        <w:jc w:val="both"/>
                        <w:rPr>
                          <w:rFonts w:ascii="Times New Roman" w:eastAsia="Batang" w:hAnsi="Times New Roman" w:cs="Times New Roman"/>
                          <w:szCs w:val="20"/>
                          <w:lang w:val="en-GB"/>
                        </w:rPr>
                      </w:pPr>
                      <w:r w:rsidRPr="00635BF9">
                        <w:rPr>
                          <w:rFonts w:ascii="Times New Roman" w:eastAsia="Batang" w:hAnsi="Times New Roman" w:cs="Times New Roman"/>
                          <w:bCs/>
                          <w:szCs w:val="20"/>
                          <w:lang w:val="en-GB"/>
                        </w:rPr>
                        <w:t xml:space="preserve">FFS: </w:t>
                      </w:r>
                      <w:r w:rsidRPr="00635BF9">
                        <w:rPr>
                          <w:rFonts w:ascii="Times New Roman" w:eastAsia="Batang" w:hAnsi="Times New Roman" w:cs="Times New Roman"/>
                          <w:szCs w:val="20"/>
                          <w:lang w:val="en-GB"/>
                        </w:rPr>
                        <w:t>When to apply the minimum indication delay (e.g., when the newly indicated beam is different with the previously indicated beam)</w:t>
                      </w:r>
                    </w:p>
                    <w:p w14:paraId="571B5216" w14:textId="77777777" w:rsidR="00A645FD" w:rsidRPr="00635BF9" w:rsidRDefault="00A645FD" w:rsidP="004152EC">
                      <w:pPr>
                        <w:snapToGrid w:val="0"/>
                        <w:spacing w:after="0"/>
                        <w:jc w:val="both"/>
                        <w:rPr>
                          <w:rFonts w:ascii="Times New Roman" w:eastAsia="Batang" w:hAnsi="Times New Roman" w:cs="Times New Roman"/>
                          <w:b/>
                          <w:bCs/>
                          <w:szCs w:val="20"/>
                          <w:highlight w:val="green"/>
                          <w:lang w:val="en-GB"/>
                        </w:rPr>
                      </w:pPr>
                      <w:r w:rsidRPr="00635BF9">
                        <w:rPr>
                          <w:rFonts w:ascii="Times New Roman" w:eastAsia="Batang" w:hAnsi="Times New Roman" w:cs="Times New Roman"/>
                          <w:b/>
                          <w:bCs/>
                          <w:szCs w:val="20"/>
                          <w:highlight w:val="green"/>
                          <w:lang w:val="en-GB"/>
                        </w:rPr>
                        <w:t>Agreement</w:t>
                      </w:r>
                    </w:p>
                    <w:p w14:paraId="4E28FEE4" w14:textId="77777777" w:rsidR="00A645FD" w:rsidRPr="00635BF9" w:rsidRDefault="00A645FD" w:rsidP="004152EC">
                      <w:pPr>
                        <w:snapToGrid w:val="0"/>
                        <w:spacing w:after="0"/>
                        <w:jc w:val="both"/>
                        <w:rPr>
                          <w:rFonts w:ascii="Times New Roman" w:eastAsia="Batang" w:hAnsi="Times New Roman" w:cs="Times New Roman"/>
                          <w:bCs/>
                          <w:szCs w:val="20"/>
                          <w:lang w:val="en-GB"/>
                        </w:rPr>
                      </w:pPr>
                      <w:r w:rsidRPr="00635BF9">
                        <w:rPr>
                          <w:rFonts w:ascii="Times New Roman" w:eastAsia="Batang" w:hAnsi="Times New Roman" w:cs="Times New Roman"/>
                          <w:bCs/>
                          <w:szCs w:val="20"/>
                          <w:lang w:val="en-GB"/>
                        </w:rPr>
                        <w:t xml:space="preserve">On Rel.17 DCI-based beam indication, </w:t>
                      </w:r>
                      <w:r w:rsidRPr="00635BF9">
                        <w:rPr>
                          <w:rFonts w:ascii="Times New Roman" w:eastAsia="Times New Roman" w:hAnsi="Times New Roman" w:cs="Times New Roman"/>
                          <w:szCs w:val="20"/>
                          <w:lang w:val="en-GB"/>
                        </w:rPr>
                        <w:t>the beam application time is to be down-selected or modified from the following:</w:t>
                      </w:r>
                    </w:p>
                    <w:p w14:paraId="15C7560F" w14:textId="77777777" w:rsidR="00A645FD" w:rsidRPr="00635BF9" w:rsidRDefault="00A645FD" w:rsidP="004152EC">
                      <w:pPr>
                        <w:numPr>
                          <w:ilvl w:val="0"/>
                          <w:numId w:val="37"/>
                        </w:numPr>
                        <w:snapToGrid w:val="0"/>
                        <w:spacing w:after="0" w:line="240" w:lineRule="auto"/>
                        <w:jc w:val="both"/>
                        <w:rPr>
                          <w:rFonts w:ascii="Times New Roman" w:eastAsia="Times New Roman" w:hAnsi="Times New Roman" w:cs="Times New Roman"/>
                          <w:szCs w:val="20"/>
                          <w:lang w:val="en-GB" w:eastAsia="x-none"/>
                        </w:rPr>
                      </w:pPr>
                      <w:r w:rsidRPr="00635BF9">
                        <w:rPr>
                          <w:rFonts w:ascii="Times New Roman" w:eastAsia="Times New Roman" w:hAnsi="Times New Roman" w:cs="Times New Roman"/>
                          <w:szCs w:val="20"/>
                          <w:lang w:val="en-GB" w:eastAsia="x-none"/>
                        </w:rPr>
                        <w:t>Alt1: The beam application time can be configured by the gNB based on UE capability</w:t>
                      </w:r>
                    </w:p>
                    <w:p w14:paraId="1B3D4023" w14:textId="77777777" w:rsidR="00A645FD" w:rsidRPr="00635BF9" w:rsidRDefault="00A645FD" w:rsidP="004152EC">
                      <w:pPr>
                        <w:numPr>
                          <w:ilvl w:val="1"/>
                          <w:numId w:val="37"/>
                        </w:numPr>
                        <w:snapToGrid w:val="0"/>
                        <w:spacing w:after="0" w:line="240" w:lineRule="auto"/>
                        <w:jc w:val="both"/>
                        <w:rPr>
                          <w:rFonts w:ascii="Times New Roman" w:eastAsia="Times New Roman" w:hAnsi="Times New Roman" w:cs="Times New Roman"/>
                          <w:szCs w:val="20"/>
                          <w:lang w:val="en-GB" w:eastAsia="x-none"/>
                        </w:rPr>
                      </w:pPr>
                      <w:r w:rsidRPr="00635BF9">
                        <w:rPr>
                          <w:rFonts w:ascii="Times New Roman" w:eastAsia="Times New Roman" w:hAnsi="Times New Roman" w:cs="Times New Roman"/>
                          <w:szCs w:val="20"/>
                          <w:lang w:val="en-GB" w:eastAsia="x-none"/>
                        </w:rPr>
                        <w:t>Support a UE capability for the minimum value of beam application time</w:t>
                      </w:r>
                    </w:p>
                    <w:p w14:paraId="17D24B85" w14:textId="77777777" w:rsidR="00A645FD" w:rsidRPr="00635BF9" w:rsidRDefault="00A645FD" w:rsidP="004152EC">
                      <w:pPr>
                        <w:numPr>
                          <w:ilvl w:val="1"/>
                          <w:numId w:val="37"/>
                        </w:numPr>
                        <w:snapToGrid w:val="0"/>
                        <w:spacing w:after="0" w:line="240" w:lineRule="auto"/>
                        <w:jc w:val="both"/>
                        <w:rPr>
                          <w:rFonts w:ascii="Times New Roman" w:eastAsia="Times New Roman" w:hAnsi="Times New Roman" w:cs="Times New Roman"/>
                          <w:szCs w:val="20"/>
                          <w:lang w:val="en-GB" w:eastAsia="x-none"/>
                        </w:rPr>
                      </w:pPr>
                      <w:r w:rsidRPr="00635BF9">
                        <w:rPr>
                          <w:rFonts w:ascii="Times New Roman" w:eastAsia="Times New Roman" w:hAnsi="Times New Roman" w:cs="Times New Roman"/>
                          <w:szCs w:val="20"/>
                          <w:lang w:val="en-GB" w:eastAsia="x-none"/>
                        </w:rPr>
                        <w:t xml:space="preserve">FFS: the exact minimum values of beam application time supported by UE </w:t>
                      </w:r>
                    </w:p>
                    <w:p w14:paraId="79A7E7C2" w14:textId="77777777" w:rsidR="00A645FD" w:rsidRPr="00635BF9" w:rsidRDefault="00A645FD" w:rsidP="004152EC">
                      <w:pPr>
                        <w:numPr>
                          <w:ilvl w:val="1"/>
                          <w:numId w:val="37"/>
                        </w:numPr>
                        <w:snapToGrid w:val="0"/>
                        <w:spacing w:after="0" w:line="240" w:lineRule="auto"/>
                        <w:jc w:val="both"/>
                        <w:rPr>
                          <w:rFonts w:ascii="Times New Roman" w:eastAsia="Times New Roman" w:hAnsi="Times New Roman" w:cs="Times New Roman"/>
                          <w:szCs w:val="20"/>
                          <w:lang w:val="en-GB" w:eastAsia="x-none"/>
                        </w:rPr>
                      </w:pPr>
                      <w:r w:rsidRPr="00635BF9">
                        <w:rPr>
                          <w:rFonts w:ascii="Times New Roman" w:eastAsia="Times New Roman" w:hAnsi="Times New Roman" w:cs="Times New Roman"/>
                          <w:szCs w:val="20"/>
                          <w:lang w:val="en-GB" w:eastAsia="x-none"/>
                        </w:rPr>
                        <w:t>FFS: whether existing UE capability can be reused as this UE capability.</w:t>
                      </w:r>
                    </w:p>
                    <w:p w14:paraId="3972F164" w14:textId="77777777" w:rsidR="00A645FD" w:rsidRPr="00635BF9" w:rsidRDefault="00A645FD" w:rsidP="004152EC">
                      <w:pPr>
                        <w:numPr>
                          <w:ilvl w:val="1"/>
                          <w:numId w:val="37"/>
                        </w:numPr>
                        <w:snapToGrid w:val="0"/>
                        <w:spacing w:after="0" w:line="240" w:lineRule="auto"/>
                        <w:jc w:val="both"/>
                        <w:rPr>
                          <w:rFonts w:ascii="Times New Roman" w:eastAsia="Times New Roman" w:hAnsi="Times New Roman" w:cs="Times New Roman"/>
                          <w:szCs w:val="20"/>
                          <w:lang w:val="en-GB" w:eastAsia="x-none"/>
                        </w:rPr>
                      </w:pPr>
                      <w:r w:rsidRPr="00635BF9">
                        <w:rPr>
                          <w:rFonts w:ascii="Times New Roman" w:eastAsia="Times New Roman" w:hAnsi="Times New Roman" w:cs="Times New Roman"/>
                          <w:szCs w:val="20"/>
                          <w:lang w:val="en-GB" w:eastAsia="x-none"/>
                        </w:rPr>
                        <w:t>FFS: whether different beam application time values are supported for uplink and downlink</w:t>
                      </w:r>
                    </w:p>
                    <w:p w14:paraId="09A3632C" w14:textId="77777777" w:rsidR="00A645FD" w:rsidRPr="00635BF9" w:rsidRDefault="00A645FD" w:rsidP="004152EC">
                      <w:pPr>
                        <w:numPr>
                          <w:ilvl w:val="1"/>
                          <w:numId w:val="37"/>
                        </w:numPr>
                        <w:snapToGrid w:val="0"/>
                        <w:spacing w:after="0" w:line="240" w:lineRule="auto"/>
                        <w:jc w:val="both"/>
                        <w:rPr>
                          <w:rFonts w:ascii="Times New Roman" w:eastAsia="Times New Roman" w:hAnsi="Times New Roman" w:cs="Times New Roman"/>
                          <w:szCs w:val="20"/>
                          <w:lang w:val="en-GB" w:eastAsia="x-none"/>
                        </w:rPr>
                      </w:pPr>
                      <w:r w:rsidRPr="00635BF9">
                        <w:rPr>
                          <w:rFonts w:ascii="Times New Roman" w:eastAsia="Times New Roman" w:hAnsi="Times New Roman" w:cs="Times New Roman"/>
                          <w:szCs w:val="20"/>
                          <w:lang w:val="en-GB" w:eastAsia="x-none"/>
                        </w:rPr>
                        <w:t>FFS: whether UE capability needs to be introduced for the maximum value of beam application time</w:t>
                      </w:r>
                    </w:p>
                    <w:p w14:paraId="5C203A4B" w14:textId="77777777" w:rsidR="00A645FD" w:rsidRPr="00635BF9" w:rsidRDefault="00A645FD" w:rsidP="004152EC">
                      <w:pPr>
                        <w:numPr>
                          <w:ilvl w:val="0"/>
                          <w:numId w:val="37"/>
                        </w:numPr>
                        <w:snapToGrid w:val="0"/>
                        <w:spacing w:after="0" w:line="240" w:lineRule="auto"/>
                        <w:jc w:val="both"/>
                        <w:rPr>
                          <w:rFonts w:ascii="Times New Roman" w:eastAsia="Times New Roman" w:hAnsi="Times New Roman" w:cs="Times New Roman"/>
                          <w:szCs w:val="20"/>
                          <w:lang w:val="en-GB" w:eastAsia="x-none"/>
                        </w:rPr>
                      </w:pPr>
                      <w:r w:rsidRPr="00635BF9">
                        <w:rPr>
                          <w:rFonts w:ascii="Times New Roman" w:eastAsia="Times New Roman" w:hAnsi="Times New Roman" w:cs="Times New Roman"/>
                          <w:szCs w:val="20"/>
                          <w:lang w:val="en-GB" w:eastAsia="x-none"/>
                        </w:rPr>
                        <w:t>Alt2: The beam application time is fixed and defined in specification</w:t>
                      </w:r>
                    </w:p>
                    <w:p w14:paraId="5B6928A2" w14:textId="77777777" w:rsidR="00A645FD" w:rsidRPr="00635BF9" w:rsidRDefault="00A645FD" w:rsidP="004152EC">
                      <w:pPr>
                        <w:numPr>
                          <w:ilvl w:val="0"/>
                          <w:numId w:val="37"/>
                        </w:numPr>
                        <w:snapToGrid w:val="0"/>
                        <w:spacing w:after="0" w:line="240" w:lineRule="auto"/>
                        <w:jc w:val="both"/>
                        <w:rPr>
                          <w:rFonts w:ascii="Times New Roman" w:eastAsia="Times New Roman" w:hAnsi="Times New Roman" w:cs="Times New Roman"/>
                          <w:szCs w:val="20"/>
                          <w:lang w:val="en-GB" w:eastAsia="x-none"/>
                        </w:rPr>
                      </w:pPr>
                      <w:r w:rsidRPr="00635BF9">
                        <w:rPr>
                          <w:rFonts w:ascii="Times New Roman" w:eastAsia="Times New Roman" w:hAnsi="Times New Roman" w:cs="Times New Roman"/>
                          <w:szCs w:val="20"/>
                          <w:lang w:val="en-GB" w:eastAsia="x-none"/>
                        </w:rPr>
                        <w:t>Alt3: The beam application time can be configured by the gNB where the minimum value of beam application time is fixed and defined in specification</w:t>
                      </w:r>
                    </w:p>
                    <w:p w14:paraId="25440BB1" w14:textId="66DA09E5" w:rsidR="00A645FD" w:rsidRPr="001D6204" w:rsidRDefault="00A645FD" w:rsidP="004152EC">
                      <w:pPr>
                        <w:numPr>
                          <w:ilvl w:val="0"/>
                          <w:numId w:val="37"/>
                        </w:numPr>
                        <w:snapToGrid w:val="0"/>
                        <w:spacing w:after="0" w:line="240" w:lineRule="auto"/>
                        <w:jc w:val="both"/>
                        <w:rPr>
                          <w:rFonts w:ascii="Times New Roman" w:eastAsia="Times New Roman" w:hAnsi="Times New Roman" w:cs="Times New Roman"/>
                          <w:szCs w:val="20"/>
                          <w:lang w:val="en-GB" w:eastAsia="x-none"/>
                        </w:rPr>
                      </w:pPr>
                      <w:r w:rsidRPr="00635BF9">
                        <w:rPr>
                          <w:rFonts w:ascii="Times New Roman" w:eastAsia="Times New Roman" w:hAnsi="Times New Roman" w:cs="Times New Roman"/>
                          <w:szCs w:val="20"/>
                          <w:lang w:val="en-GB" w:eastAsia="x-none"/>
                        </w:rPr>
                        <w:t>Consider multi-panel UE, layer 1/2 inter-cell cases, carrier aggregation aspects</w:t>
                      </w:r>
                    </w:p>
                  </w:txbxContent>
                </v:textbox>
                <w10:anchorlock/>
              </v:shape>
            </w:pict>
          </mc:Fallback>
        </mc:AlternateContent>
      </w:r>
    </w:p>
    <w:p w14:paraId="15792A7B" w14:textId="5FF32C26" w:rsidR="00566EEC" w:rsidRDefault="00566EEC" w:rsidP="00566EEC">
      <w:pPr>
        <w:pStyle w:val="BodyText"/>
      </w:pPr>
      <w:r>
        <w:t xml:space="preserve">Beam indication will thus be supported using DCI formats 1_1 and 1_2. We note that there is already a </w:t>
      </w:r>
      <w:r w:rsidR="00E76CB6">
        <w:t xml:space="preserve">TCI </w:t>
      </w:r>
      <w:r>
        <w:t xml:space="preserve"> field in these DCI formats. In Rel-15/16, this field is used to provide a specific TCI state for PDSCH reception: the DCI codepoint indicates one particular TCI state that was previously activated by MAC CE. We propose to reuse the same paradigm for the unified TCI state:</w:t>
      </w:r>
    </w:p>
    <w:p w14:paraId="65DB0466" w14:textId="77777777" w:rsidR="00135231" w:rsidRDefault="00566EEC" w:rsidP="00566EEC">
      <w:pPr>
        <w:pStyle w:val="Proposal"/>
      </w:pPr>
      <w:bookmarkStart w:id="37" w:name="_Toc61889372"/>
      <w:r>
        <w:t>Reuse the transmission configuration indicator field in DCI formats 1_1 and 1_2</w:t>
      </w:r>
      <w:r w:rsidR="00135231">
        <w:t xml:space="preserve"> for beam indication signaling for unified TCI.</w:t>
      </w:r>
      <w:bookmarkEnd w:id="37"/>
    </w:p>
    <w:p w14:paraId="1FF6423A" w14:textId="2726AEED" w:rsidR="00566EEC" w:rsidRDefault="00135231" w:rsidP="00566EEC">
      <w:pPr>
        <w:pStyle w:val="Proposal"/>
      </w:pPr>
      <w:bookmarkStart w:id="38" w:name="_Toc61889373"/>
      <w:r>
        <w:t>For join</w:t>
      </w:r>
      <w:r w:rsidR="00EB47F1">
        <w:t>t</w:t>
      </w:r>
      <w:r>
        <w:t xml:space="preserve"> UL/DL TCI, the DCI code point indicates one TCI state that was</w:t>
      </w:r>
      <w:r w:rsidR="00566EEC">
        <w:t xml:space="preserve"> </w:t>
      </w:r>
      <w:r>
        <w:t>previously activated by MAC CE.</w:t>
      </w:r>
      <w:bookmarkEnd w:id="38"/>
    </w:p>
    <w:p w14:paraId="13816873" w14:textId="7AF8D8C6" w:rsidR="00566EEC" w:rsidRDefault="00EB47F1" w:rsidP="00566EEC">
      <w:pPr>
        <w:pStyle w:val="BodyText"/>
      </w:pPr>
      <w:r>
        <w:t>As noted in the agreement, t</w:t>
      </w:r>
      <w:r w:rsidRPr="00EB47F1">
        <w:t>he ACK/NAK of the PDSCH scheduled by the DCI carrying the beam indication can be used as an ACK also for the DCI</w:t>
      </w:r>
      <w:r>
        <w:t>. We see no reason to add another acknowledgement mechanism:</w:t>
      </w:r>
    </w:p>
    <w:p w14:paraId="37A1294E" w14:textId="353AC4FF" w:rsidR="00EB47F1" w:rsidRDefault="00786D65" w:rsidP="00EB47F1">
      <w:pPr>
        <w:pStyle w:val="Proposal"/>
      </w:pPr>
      <w:bookmarkStart w:id="39" w:name="_Toc61889374"/>
      <w:r>
        <w:t>Do not introduce another acknowledgement for the beam indication carried by DCI formats 1_1 and 1_2.</w:t>
      </w:r>
      <w:bookmarkEnd w:id="39"/>
    </w:p>
    <w:p w14:paraId="52146DA3" w14:textId="02BB3E85" w:rsidR="00744A7D" w:rsidRDefault="00786D65" w:rsidP="00786D65">
      <w:pPr>
        <w:pStyle w:val="BodyText"/>
      </w:pPr>
      <w:r>
        <w:t xml:space="preserve">As shown in </w:t>
      </w:r>
      <w:r>
        <w:fldChar w:fldCharType="begin"/>
      </w:r>
      <w:r>
        <w:instrText xml:space="preserve"> REF _Ref54262177 \r \h </w:instrText>
      </w:r>
      <w:r>
        <w:fldChar w:fldCharType="separate"/>
      </w:r>
      <w:r w:rsidR="000B407C">
        <w:t>[4]</w:t>
      </w:r>
      <w:r>
        <w:fldChar w:fldCharType="end"/>
      </w:r>
      <w:r>
        <w:t>, in many cases, the gains of a faster beam indication interval are small. Based on this, we do not see that it is motivated to introduce another DCI format to carry the indication</w:t>
      </w:r>
      <w:r w:rsidR="00744A7D">
        <w:t>:</w:t>
      </w:r>
    </w:p>
    <w:p w14:paraId="5A754172" w14:textId="109D2AA2" w:rsidR="00744A7D" w:rsidRDefault="00744A7D" w:rsidP="00744A7D">
      <w:pPr>
        <w:pStyle w:val="Proposal"/>
      </w:pPr>
      <w:bookmarkStart w:id="40" w:name="_Toc61889375"/>
      <w:r>
        <w:t>Do not introduce one additional DCI format for UL-only beam indication.</w:t>
      </w:r>
      <w:bookmarkEnd w:id="40"/>
    </w:p>
    <w:p w14:paraId="2AA435F1" w14:textId="5F5C9624" w:rsidR="00786D65" w:rsidRDefault="00786D65" w:rsidP="00786D65">
      <w:pPr>
        <w:pStyle w:val="BodyText"/>
      </w:pPr>
      <w:r>
        <w:t xml:space="preserve">To support separate update of UL/DL TCI states, MAC CE would be used to activate a set of pairs of TCI states. Each pair would contain one TCI state for DL and one TCI state for UL. When the code point in DCI indicates one pair, the UE would update </w:t>
      </w:r>
      <w:r w:rsidR="00744A7D">
        <w:t xml:space="preserve">the DL </w:t>
      </w:r>
      <w:r>
        <w:t>beam indication</w:t>
      </w:r>
      <w:r w:rsidR="00744A7D">
        <w:t xml:space="preserve"> using the DL TCI state, and the UL beam indication using the UL TCI state:</w:t>
      </w:r>
    </w:p>
    <w:p w14:paraId="1DEF0817" w14:textId="65884026" w:rsidR="00744A7D" w:rsidRDefault="00744A7D" w:rsidP="00744A7D">
      <w:pPr>
        <w:pStyle w:val="Proposal"/>
      </w:pPr>
      <w:bookmarkStart w:id="41" w:name="_Toc61889376"/>
      <w:r>
        <w:t>To support separate DL/UL TCI states, MAC CE will activate pairs of TCI states, where the first TCI state in the pair would be the DL TCI state, and the second TCI state would be the UL TCI state.</w:t>
      </w:r>
      <w:bookmarkEnd w:id="41"/>
    </w:p>
    <w:p w14:paraId="3711EE69" w14:textId="63BE0CF6" w:rsidR="00744A7D" w:rsidRDefault="00744A7D" w:rsidP="00744A7D">
      <w:pPr>
        <w:pStyle w:val="Proposal"/>
      </w:pPr>
      <w:bookmarkStart w:id="42" w:name="_Toc61889377"/>
      <w:r>
        <w:t>A DCI code point indicating a pair of TCI states would activate one DL TCI state and one UL TCI state.</w:t>
      </w:r>
      <w:bookmarkEnd w:id="42"/>
    </w:p>
    <w:p w14:paraId="48D761BF" w14:textId="51C28E92" w:rsidR="00964BB9" w:rsidRDefault="00964BB9" w:rsidP="00566EEC">
      <w:pPr>
        <w:pStyle w:val="BodyText"/>
      </w:pPr>
      <w:r>
        <w:t xml:space="preserve">This is illustrated in </w:t>
      </w:r>
      <w:r>
        <w:fldChar w:fldCharType="begin"/>
      </w:r>
      <w:r>
        <w:instrText xml:space="preserve"> REF _Ref61430121 \h </w:instrText>
      </w:r>
      <w:r>
        <w:fldChar w:fldCharType="separate"/>
      </w:r>
      <w:r w:rsidR="000B407C" w:rsidRPr="00324E84">
        <w:t xml:space="preserve">Figure </w:t>
      </w:r>
      <w:r w:rsidR="000B407C">
        <w:rPr>
          <w:noProof/>
        </w:rPr>
        <w:t>2</w:t>
      </w:r>
      <w:r>
        <w:fldChar w:fldCharType="end"/>
      </w:r>
      <w:r>
        <w:t>.</w:t>
      </w:r>
    </w:p>
    <w:p w14:paraId="277F3A7D" w14:textId="727EAB75" w:rsidR="00964BB9" w:rsidRDefault="00964BB9" w:rsidP="00964BB9">
      <w:pPr>
        <w:jc w:val="center"/>
        <w:rPr>
          <w:lang w:val="en-GB" w:eastAsia="ja-JP"/>
        </w:rPr>
      </w:pPr>
      <w:r>
        <w:rPr>
          <w:noProof/>
          <w:lang w:val="en-GB" w:eastAsia="ja-JP"/>
        </w:rPr>
        <w:drawing>
          <wp:inline distT="0" distB="0" distL="0" distR="0" wp14:anchorId="0084919B" wp14:editId="657DC994">
            <wp:extent cx="4152900" cy="1797479"/>
            <wp:effectExtent l="0" t="0" r="0" b="0"/>
            <wp:docPr id="18" name="Picture 18" descr="A picture containing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dl-ul-tci-states.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75873" cy="1807422"/>
                    </a:xfrm>
                    <a:prstGeom prst="rect">
                      <a:avLst/>
                    </a:prstGeom>
                  </pic:spPr>
                </pic:pic>
              </a:graphicData>
            </a:graphic>
          </wp:inline>
        </w:drawing>
      </w:r>
    </w:p>
    <w:p w14:paraId="2F6EC420" w14:textId="182A48F1" w:rsidR="00964BB9" w:rsidRPr="00964BB9" w:rsidRDefault="00964BB9" w:rsidP="00964BB9">
      <w:pPr>
        <w:pStyle w:val="TF"/>
        <w:rPr>
          <w:lang w:val="en-US"/>
        </w:rPr>
      </w:pPr>
      <w:bookmarkStart w:id="43" w:name="_Ref61430121"/>
      <w:r w:rsidRPr="00324E84">
        <w:t xml:space="preserve">Figure </w:t>
      </w:r>
      <w:r>
        <w:fldChar w:fldCharType="begin"/>
      </w:r>
      <w:r>
        <w:instrText xml:space="preserve"> SEQ Figure \* ARABIC </w:instrText>
      </w:r>
      <w:r>
        <w:fldChar w:fldCharType="separate"/>
      </w:r>
      <w:r w:rsidR="000B407C">
        <w:rPr>
          <w:noProof/>
        </w:rPr>
        <w:t>2</w:t>
      </w:r>
      <w:r>
        <w:rPr>
          <w:noProof/>
        </w:rPr>
        <w:fldChar w:fldCharType="end"/>
      </w:r>
      <w:bookmarkEnd w:id="43"/>
      <w:r w:rsidRPr="00324E84">
        <w:t xml:space="preserve">: </w:t>
      </w:r>
      <w:r>
        <w:rPr>
          <w:lang w:val="en-US"/>
        </w:rPr>
        <w:t xml:space="preserve">Mapping between DCI codepoints and pairs of activated TCI states. </w:t>
      </w:r>
    </w:p>
    <w:p w14:paraId="575D5B19" w14:textId="3FFF867E" w:rsidR="00566EEC" w:rsidRDefault="00744A7D" w:rsidP="00566EEC">
      <w:pPr>
        <w:pStyle w:val="BodyText"/>
      </w:pPr>
      <w:r>
        <w:t>We note that UL-only beam indication would be achieved using pairs of TCI states where only the UL TCI state would be different.</w:t>
      </w:r>
    </w:p>
    <w:p w14:paraId="4FFDDD82" w14:textId="0AB4030F" w:rsidR="00566EEC" w:rsidRDefault="001D6204" w:rsidP="00566EEC">
      <w:pPr>
        <w:pStyle w:val="BodyText"/>
      </w:pPr>
      <w:r>
        <w:t>During RAN1#103-e, there was also a long discussion on the beam application timing</w:t>
      </w:r>
      <w:r w:rsidR="00724E37">
        <w:t>, and a few alternatives were formulated. The open issues are related to the reference of the beam application timing, and what the beam application would be.</w:t>
      </w:r>
    </w:p>
    <w:p w14:paraId="0401B7B1" w14:textId="50F0C6C2" w:rsidR="00724E37" w:rsidRDefault="00724E37" w:rsidP="00566EEC">
      <w:pPr>
        <w:pStyle w:val="BodyText"/>
      </w:pPr>
      <w:r>
        <w:t xml:space="preserve">We note that the main motivation for introducing DCI-based beam indication is to reduce the beam switch time. Therefore, we propose </w:t>
      </w:r>
    </w:p>
    <w:p w14:paraId="4005E8ED" w14:textId="6C2ACCEB" w:rsidR="00724E37" w:rsidRDefault="00724E37" w:rsidP="00724E37">
      <w:pPr>
        <w:pStyle w:val="Proposal"/>
      </w:pPr>
      <w:bookmarkStart w:id="44" w:name="_Ref61430954"/>
      <w:bookmarkStart w:id="45" w:name="_Toc61889378"/>
      <w:r>
        <w:t xml:space="preserve">The new beam is applied in </w:t>
      </w:r>
      <w:r w:rsidRPr="00724E37">
        <w:t>the first slot that is at least X ms or Y symbols after the DCI with the joint or separate DL/UL beam indication</w:t>
      </w:r>
      <w:r>
        <w:t>, i.e., Alt 1.</w:t>
      </w:r>
      <w:bookmarkEnd w:id="44"/>
      <w:bookmarkEnd w:id="45"/>
    </w:p>
    <w:p w14:paraId="64E726B0" w14:textId="2409AB8D" w:rsidR="00724E37" w:rsidRDefault="00724E37" w:rsidP="00566EEC">
      <w:pPr>
        <w:pStyle w:val="BodyText"/>
      </w:pPr>
      <w:r>
        <w:t xml:space="preserve">With this definition, there would be a possibility to use really fast beam switching. Of course, the actual timing used would be selected based on the definition. </w:t>
      </w:r>
      <w:r>
        <w:fldChar w:fldCharType="begin"/>
      </w:r>
      <w:r>
        <w:instrText xml:space="preserve"> REF _Ref61430954 \r \h </w:instrText>
      </w:r>
      <w:r>
        <w:fldChar w:fldCharType="separate"/>
      </w:r>
      <w:r w:rsidR="00C66BD9">
        <w:t>Proposal 29</w:t>
      </w:r>
      <w:r>
        <w:fldChar w:fldCharType="end"/>
      </w:r>
      <w:r>
        <w:t xml:space="preserve"> reuses the definition of the timing reference used for PDSCH beam switching in Rel-15/16.</w:t>
      </w:r>
    </w:p>
    <w:p w14:paraId="309ABCE0" w14:textId="487E649F" w:rsidR="00724E37" w:rsidRDefault="00724E37" w:rsidP="00566EEC">
      <w:pPr>
        <w:pStyle w:val="BodyText"/>
      </w:pPr>
      <w:r>
        <w:t xml:space="preserve">The actual beam switch timing must be configurable by the NW, to handle different configurations, e.g., related to TDD patterns, and </w:t>
      </w:r>
      <w:r w:rsidR="000E4ED6">
        <w:t xml:space="preserve">distributed </w:t>
      </w:r>
      <w:r>
        <w:t>deployments.</w:t>
      </w:r>
      <w:r w:rsidR="000E4ED6">
        <w:t xml:space="preserve"> The NW would of course also take the UE capabilities into account. To avoid an overly conservative choice of beam application time, we prefer to introduce a new UE capability for the minimum beam switching time:</w:t>
      </w:r>
    </w:p>
    <w:p w14:paraId="49763A58" w14:textId="7C97AEFF" w:rsidR="000E4ED6" w:rsidRDefault="000E4ED6" w:rsidP="000E4ED6">
      <w:pPr>
        <w:pStyle w:val="Proposal"/>
      </w:pPr>
      <w:bookmarkStart w:id="46" w:name="_Toc61889379"/>
      <w:r w:rsidRPr="000E4ED6">
        <w:t xml:space="preserve">The beam application time can be configured by the gNB based on </w:t>
      </w:r>
      <w:r>
        <w:t xml:space="preserve">a new </w:t>
      </w:r>
      <w:r w:rsidRPr="000E4ED6">
        <w:t>UE capability</w:t>
      </w:r>
      <w:r>
        <w:t>.</w:t>
      </w:r>
      <w:bookmarkEnd w:id="46"/>
    </w:p>
    <w:p w14:paraId="50A26F05" w14:textId="2F533F24" w:rsidR="0086351C" w:rsidRDefault="0086351C" w:rsidP="0086351C">
      <w:pPr>
        <w:pStyle w:val="Heading2"/>
      </w:pPr>
      <w:r>
        <w:t>2.</w:t>
      </w:r>
      <w:r w:rsidR="0019074B">
        <w:t>4</w:t>
      </w:r>
      <w:r>
        <w:tab/>
      </w:r>
      <w:r w:rsidR="005E1CF5">
        <w:t>MPE mitigation and fast UL panel switching</w:t>
      </w:r>
      <w:r w:rsidR="006C42B1" w:rsidRPr="006C42B1">
        <w:t xml:space="preserve"> </w:t>
      </w:r>
    </w:p>
    <w:p w14:paraId="4737CA46" w14:textId="6A7C49DE" w:rsidR="00526A7C" w:rsidRPr="005747EF" w:rsidRDefault="00455862" w:rsidP="005747EF">
      <w:pPr>
        <w:pStyle w:val="Heading3"/>
      </w:pPr>
      <w:r>
        <w:t>2.4.</w:t>
      </w:r>
      <w:r w:rsidR="005E1CF5">
        <w:t>1</w:t>
      </w:r>
      <w:r>
        <w:tab/>
      </w:r>
      <w:r w:rsidR="005E1CF5">
        <w:t>Performance of MPE-aware scheduling</w:t>
      </w:r>
    </w:p>
    <w:p w14:paraId="6D1DC462" w14:textId="165C345F" w:rsidR="004871C7" w:rsidRDefault="004871C7" w:rsidP="00BE0271">
      <w:pPr>
        <w:rPr>
          <w:lang w:val="en-GB" w:eastAsia="ja-JP"/>
        </w:rPr>
      </w:pPr>
      <w:r>
        <w:rPr>
          <w:lang w:val="en-GB" w:eastAsia="ja-JP"/>
        </w:rPr>
        <w:t>The UE must under some circumstances reduce its max Tx power to comply with regulatory rules on MPE</w:t>
      </w:r>
      <w:r w:rsidR="00282875">
        <w:rPr>
          <w:lang w:val="en-GB" w:eastAsia="ja-JP"/>
        </w:rPr>
        <w:t xml:space="preserve">, and such </w:t>
      </w:r>
      <w:r>
        <w:rPr>
          <w:lang w:val="en-GB" w:eastAsia="ja-JP"/>
        </w:rPr>
        <w:t xml:space="preserve">a reduction of max Tx power may lead to reduced coverage. If the gNB was aware of this Tx power reduction, the gNB could take this into account in scheduling. We would call such a scheduler </w:t>
      </w:r>
      <w:r w:rsidRPr="004871C7">
        <w:rPr>
          <w:i/>
          <w:iCs/>
          <w:lang w:val="en-GB" w:eastAsia="ja-JP"/>
        </w:rPr>
        <w:t>MPE-aware</w:t>
      </w:r>
      <w:r>
        <w:rPr>
          <w:lang w:val="en-GB" w:eastAsia="ja-JP"/>
        </w:rPr>
        <w:t>.</w:t>
      </w:r>
    </w:p>
    <w:p w14:paraId="78BE35DE" w14:textId="5B3BEA1C" w:rsidR="00BE0271" w:rsidRDefault="00BE0271" w:rsidP="00BE0271">
      <w:pPr>
        <w:rPr>
          <w:lang w:val="en-GB" w:eastAsia="ja-JP"/>
        </w:rPr>
      </w:pPr>
      <w:r>
        <w:rPr>
          <w:lang w:val="en-GB" w:eastAsia="ja-JP"/>
        </w:rPr>
        <w:t xml:space="preserve">To investigate the potential benefits of </w:t>
      </w:r>
      <w:r w:rsidR="00180B13">
        <w:rPr>
          <w:lang w:val="en-GB" w:eastAsia="ja-JP"/>
        </w:rPr>
        <w:t>a MPE-aware scheduler,</w:t>
      </w:r>
      <w:r>
        <w:rPr>
          <w:lang w:val="en-GB" w:eastAsia="ja-JP"/>
        </w:rPr>
        <w:t xml:space="preserve"> </w:t>
      </w:r>
      <w:r w:rsidR="0071790E">
        <w:rPr>
          <w:lang w:val="en-GB" w:eastAsia="ja-JP"/>
        </w:rPr>
        <w:t xml:space="preserve">system-level </w:t>
      </w:r>
      <w:r>
        <w:rPr>
          <w:lang w:val="en-GB" w:eastAsia="ja-JP"/>
        </w:rPr>
        <w:t>simulations have been performed</w:t>
      </w:r>
      <w:r w:rsidR="00282875">
        <w:rPr>
          <w:lang w:val="en-GB" w:eastAsia="ja-JP"/>
        </w:rPr>
        <w:t>. The simulation utilize</w:t>
      </w:r>
      <w:r>
        <w:rPr>
          <w:lang w:val="en-GB" w:eastAsia="ja-JP"/>
        </w:rPr>
        <w:t xml:space="preserve"> </w:t>
      </w:r>
      <w:r w:rsidR="00180B13">
        <w:rPr>
          <w:lang w:val="en-GB" w:eastAsia="ja-JP"/>
        </w:rPr>
        <w:t xml:space="preserve">the </w:t>
      </w:r>
      <w:r w:rsidR="00282875">
        <w:rPr>
          <w:lang w:val="en-GB" w:eastAsia="ja-JP"/>
        </w:rPr>
        <w:t>agreed</w:t>
      </w:r>
      <w:r w:rsidR="00180B13">
        <w:rPr>
          <w:lang w:val="en-GB" w:eastAsia="ja-JP"/>
        </w:rPr>
        <w:t xml:space="preserve"> EVMs, </w:t>
      </w:r>
      <w:r w:rsidR="00282875">
        <w:rPr>
          <w:lang w:val="en-GB" w:eastAsia="ja-JP"/>
        </w:rPr>
        <w:t>with a few exceptions as detailed</w:t>
      </w:r>
      <w:r w:rsidR="00180B13">
        <w:rPr>
          <w:lang w:val="en-GB" w:eastAsia="ja-JP"/>
        </w:rPr>
        <w:t xml:space="preserve"> in </w:t>
      </w:r>
      <w:r w:rsidR="004871C7">
        <w:rPr>
          <w:lang w:val="en-GB" w:eastAsia="ja-JP"/>
        </w:rPr>
        <w:fldChar w:fldCharType="begin"/>
      </w:r>
      <w:r w:rsidR="004871C7">
        <w:rPr>
          <w:lang w:val="en-GB" w:eastAsia="ja-JP"/>
        </w:rPr>
        <w:instrText xml:space="preserve"> REF _Ref61434316 \r \h </w:instrText>
      </w:r>
      <w:r w:rsidR="004871C7">
        <w:rPr>
          <w:lang w:val="en-GB" w:eastAsia="ja-JP"/>
        </w:rPr>
      </w:r>
      <w:r w:rsidR="004871C7">
        <w:rPr>
          <w:lang w:val="en-GB" w:eastAsia="ja-JP"/>
        </w:rPr>
        <w:fldChar w:fldCharType="separate"/>
      </w:r>
      <w:r w:rsidR="000B407C">
        <w:rPr>
          <w:lang w:val="en-GB" w:eastAsia="ja-JP"/>
        </w:rPr>
        <w:t>[5]</w:t>
      </w:r>
      <w:r w:rsidR="004871C7">
        <w:rPr>
          <w:lang w:val="en-GB" w:eastAsia="ja-JP"/>
        </w:rPr>
        <w:fldChar w:fldCharType="end"/>
      </w:r>
      <w:r w:rsidR="00282875">
        <w:rPr>
          <w:lang w:val="en-GB" w:eastAsia="ja-JP"/>
        </w:rPr>
        <w:t>. The most</w:t>
      </w:r>
      <w:r w:rsidR="0071790E">
        <w:rPr>
          <w:lang w:val="en-GB" w:eastAsia="ja-JP"/>
        </w:rPr>
        <w:t xml:space="preserve"> important </w:t>
      </w:r>
      <w:r w:rsidR="00282875">
        <w:rPr>
          <w:lang w:val="en-GB" w:eastAsia="ja-JP"/>
        </w:rPr>
        <w:t>difference</w:t>
      </w:r>
      <w:r w:rsidR="0071790E">
        <w:rPr>
          <w:lang w:val="en-GB" w:eastAsia="ja-JP"/>
        </w:rPr>
        <w:t xml:space="preserve"> is that</w:t>
      </w:r>
      <w:r w:rsidR="00282875">
        <w:rPr>
          <w:lang w:val="en-GB" w:eastAsia="ja-JP"/>
        </w:rPr>
        <w:t xml:space="preserve"> the </w:t>
      </w:r>
      <w:r w:rsidR="0071790E">
        <w:rPr>
          <w:lang w:val="en-GB" w:eastAsia="ja-JP"/>
        </w:rPr>
        <w:t xml:space="preserve">max Tx power has been </w:t>
      </w:r>
      <w:r w:rsidR="00282875">
        <w:rPr>
          <w:lang w:val="en-GB" w:eastAsia="ja-JP"/>
        </w:rPr>
        <w:t>reduced to</w:t>
      </w:r>
      <w:r w:rsidR="0071790E">
        <w:rPr>
          <w:color w:val="000000" w:themeColor="text1"/>
          <w:lang w:val="en-GB" w:eastAsia="ja-JP"/>
        </w:rPr>
        <w:t xml:space="preserve"> 13dBm</w:t>
      </w:r>
      <w:r w:rsidR="00282875">
        <w:rPr>
          <w:color w:val="000000" w:themeColor="text1"/>
          <w:lang w:val="en-GB" w:eastAsia="ja-JP"/>
        </w:rPr>
        <w:t>, to make sure that the UEs are power-limited</w:t>
      </w:r>
      <w:r>
        <w:rPr>
          <w:lang w:val="en-GB" w:eastAsia="ja-JP"/>
        </w:rPr>
        <w:t xml:space="preserve">. </w:t>
      </w:r>
      <w:r w:rsidR="00180B13">
        <w:rPr>
          <w:lang w:val="en-GB" w:eastAsia="ja-JP"/>
        </w:rPr>
        <w:t>These simulations have been done in a dense urban scenario</w:t>
      </w:r>
      <w:r w:rsidR="002C664E">
        <w:rPr>
          <w:lang w:val="en-GB" w:eastAsia="ja-JP"/>
        </w:rPr>
        <w:t xml:space="preserve"> with both indoor and outdoor UEs</w:t>
      </w:r>
      <w:r>
        <w:rPr>
          <w:lang w:val="en-GB" w:eastAsia="ja-JP"/>
        </w:rPr>
        <w:t xml:space="preserve">. </w:t>
      </w:r>
      <w:r w:rsidR="00180B13">
        <w:rPr>
          <w:lang w:val="en-GB" w:eastAsia="ja-JP"/>
        </w:rPr>
        <w:t>Four</w:t>
      </w:r>
      <w:r>
        <w:rPr>
          <w:lang w:val="en-GB" w:eastAsia="ja-JP"/>
        </w:rPr>
        <w:t xml:space="preserve"> cases were investigated:</w:t>
      </w:r>
    </w:p>
    <w:p w14:paraId="342574FE" w14:textId="73F8CDF1" w:rsidR="00BE0271" w:rsidRDefault="00BE0271" w:rsidP="00BE0271">
      <w:pPr>
        <w:pStyle w:val="ListParagraph"/>
        <w:numPr>
          <w:ilvl w:val="0"/>
          <w:numId w:val="26"/>
        </w:numPr>
        <w:rPr>
          <w:rFonts w:ascii="Arial" w:hAnsi="Arial" w:cs="Arial"/>
          <w:sz w:val="20"/>
          <w:szCs w:val="20"/>
          <w:lang w:val="en-GB" w:eastAsia="ja-JP"/>
        </w:rPr>
      </w:pPr>
      <w:r w:rsidRPr="00EC24C6">
        <w:rPr>
          <w:rFonts w:ascii="Arial" w:hAnsi="Arial" w:cs="Arial"/>
          <w:sz w:val="20"/>
          <w:szCs w:val="20"/>
          <w:lang w:val="en-GB" w:eastAsia="ja-JP"/>
        </w:rPr>
        <w:t>No blockage</w:t>
      </w:r>
    </w:p>
    <w:p w14:paraId="2B019D0C" w14:textId="30D5A044" w:rsidR="00180B13" w:rsidRPr="00EC24C6" w:rsidRDefault="00180B13" w:rsidP="00BE0271">
      <w:pPr>
        <w:pStyle w:val="ListParagraph"/>
        <w:numPr>
          <w:ilvl w:val="0"/>
          <w:numId w:val="26"/>
        </w:numPr>
        <w:rPr>
          <w:rFonts w:ascii="Arial" w:hAnsi="Arial" w:cs="Arial"/>
          <w:sz w:val="20"/>
          <w:szCs w:val="20"/>
          <w:lang w:val="en-GB" w:eastAsia="ja-JP"/>
        </w:rPr>
      </w:pPr>
      <w:r>
        <w:rPr>
          <w:rFonts w:ascii="Arial" w:hAnsi="Arial" w:cs="Arial"/>
          <w:sz w:val="20"/>
          <w:szCs w:val="20"/>
          <w:lang w:val="en-GB" w:eastAsia="ja-JP"/>
        </w:rPr>
        <w:t>Panel blockage, no reduction of max Tx power for the blocked panel</w:t>
      </w:r>
    </w:p>
    <w:p w14:paraId="1639339F" w14:textId="7C172D75" w:rsidR="004871C7" w:rsidRPr="004871C7" w:rsidRDefault="004871C7" w:rsidP="004871C7">
      <w:pPr>
        <w:pStyle w:val="ListParagraph"/>
        <w:numPr>
          <w:ilvl w:val="0"/>
          <w:numId w:val="26"/>
        </w:numPr>
        <w:rPr>
          <w:rFonts w:ascii="Arial" w:hAnsi="Arial" w:cs="Arial"/>
          <w:sz w:val="20"/>
          <w:szCs w:val="20"/>
          <w:lang w:val="en-GB" w:eastAsia="ja-JP"/>
        </w:rPr>
      </w:pPr>
      <w:r w:rsidRPr="00EC24C6">
        <w:rPr>
          <w:rFonts w:ascii="Arial" w:hAnsi="Arial" w:cs="Arial"/>
          <w:sz w:val="20"/>
          <w:szCs w:val="20"/>
          <w:lang w:val="en-GB" w:eastAsia="ja-JP"/>
        </w:rPr>
        <w:t xml:space="preserve">Panel blockage, and reduction of max Tx power by 10dB for the blocked panel. </w:t>
      </w:r>
    </w:p>
    <w:p w14:paraId="10B76EF2" w14:textId="01578941" w:rsidR="00CF72C8" w:rsidRPr="00180B13" w:rsidRDefault="00BE0271" w:rsidP="00CF72C8">
      <w:pPr>
        <w:pStyle w:val="ListParagraph"/>
        <w:numPr>
          <w:ilvl w:val="0"/>
          <w:numId w:val="26"/>
        </w:numPr>
        <w:rPr>
          <w:rFonts w:ascii="Arial" w:hAnsi="Arial" w:cs="Arial"/>
          <w:sz w:val="20"/>
          <w:szCs w:val="20"/>
          <w:lang w:val="en-GB" w:eastAsia="ja-JP"/>
        </w:rPr>
      </w:pPr>
      <w:r w:rsidRPr="00EC24C6">
        <w:rPr>
          <w:rFonts w:ascii="Arial" w:hAnsi="Arial" w:cs="Arial"/>
          <w:sz w:val="20"/>
          <w:szCs w:val="20"/>
          <w:lang w:val="en-GB" w:eastAsia="ja-JP"/>
        </w:rPr>
        <w:t>Panel blockage, and reduction of max Tx power by 10dB for the blocked panel. The max Tx power reduction is taken into account in the beam selection.</w:t>
      </w:r>
    </w:p>
    <w:p w14:paraId="7A9A26EE" w14:textId="77777777" w:rsidR="007155AA" w:rsidRPr="00180B13" w:rsidRDefault="007155AA" w:rsidP="007155AA">
      <w:pPr>
        <w:pStyle w:val="ListParagraph"/>
        <w:rPr>
          <w:rFonts w:ascii="Arial" w:hAnsi="Arial" w:cs="Arial"/>
          <w:sz w:val="20"/>
          <w:szCs w:val="20"/>
          <w:lang w:val="en-GB" w:eastAsia="ja-JP"/>
        </w:rPr>
      </w:pPr>
    </w:p>
    <w:p w14:paraId="6852AEC8" w14:textId="23B2EDB5" w:rsidR="00180B13" w:rsidRDefault="007155AA" w:rsidP="00180B13">
      <w:pPr>
        <w:keepNext/>
      </w:pPr>
      <w:r>
        <w:rPr>
          <w:noProof/>
        </w:rPr>
        <w:drawing>
          <wp:anchor distT="0" distB="0" distL="114300" distR="114300" simplePos="0" relativeHeight="251658245" behindDoc="1" locked="0" layoutInCell="1" allowOverlap="1" wp14:anchorId="0A342FA4" wp14:editId="52DC39F2">
            <wp:simplePos x="0" y="0"/>
            <wp:positionH relativeFrom="column">
              <wp:posOffset>-2540</wp:posOffset>
            </wp:positionH>
            <wp:positionV relativeFrom="paragraph">
              <wp:posOffset>1270</wp:posOffset>
            </wp:positionV>
            <wp:extent cx="2754630" cy="2562860"/>
            <wp:effectExtent l="0" t="0" r="1270" b="2540"/>
            <wp:wrapTight wrapText="bothSides">
              <wp:wrapPolygon edited="0">
                <wp:start x="0" y="0"/>
                <wp:lineTo x="0" y="21514"/>
                <wp:lineTo x="21510" y="21514"/>
                <wp:lineTo x="21510" y="0"/>
                <wp:lineTo x="0" y="0"/>
              </wp:wrapPolygon>
            </wp:wrapTight>
            <wp:docPr id="15" name="Picture 15"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picture containing graphical user interface&#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54630" cy="2562860"/>
                    </a:xfrm>
                    <a:prstGeom prst="rect">
                      <a:avLst/>
                    </a:prstGeom>
                  </pic:spPr>
                </pic:pic>
              </a:graphicData>
            </a:graphic>
            <wp14:sizeRelH relativeFrom="page">
              <wp14:pctWidth>0</wp14:pctWidth>
            </wp14:sizeRelH>
            <wp14:sizeRelV relativeFrom="page">
              <wp14:pctHeight>0</wp14:pctHeight>
            </wp14:sizeRelV>
          </wp:anchor>
        </w:drawing>
      </w:r>
      <w:r w:rsidRPr="007155AA">
        <w:rPr>
          <w:noProof/>
        </w:rPr>
        <w:drawing>
          <wp:anchor distT="0" distB="0" distL="114300" distR="114300" simplePos="0" relativeHeight="251658240" behindDoc="0" locked="0" layoutInCell="1" allowOverlap="1" wp14:anchorId="382FFE45" wp14:editId="17AA4AA1">
            <wp:simplePos x="0" y="0"/>
            <wp:positionH relativeFrom="column">
              <wp:posOffset>2711450</wp:posOffset>
            </wp:positionH>
            <wp:positionV relativeFrom="paragraph">
              <wp:posOffset>1270</wp:posOffset>
            </wp:positionV>
            <wp:extent cx="2847340" cy="2418715"/>
            <wp:effectExtent l="0" t="0" r="0" b="0"/>
            <wp:wrapSquare wrapText="bothSides"/>
            <wp:docPr id="33" name="Picture 8" descr="Chart, bar chart&#10;&#10;Description automatically generated">
              <a:extLst xmlns:a="http://schemas.openxmlformats.org/drawingml/2006/main">
                <a:ext uri="{FF2B5EF4-FFF2-40B4-BE49-F238E27FC236}">
                  <a16:creationId xmlns:a16="http://schemas.microsoft.com/office/drawing/2014/main" id="{17361444-F5FA-A04A-A9B7-023989249AC2}"/>
                </a:ext>
              </a:extLst>
            </wp:docPr>
            <wp:cNvGraphicFramePr/>
            <a:graphic xmlns:a="http://schemas.openxmlformats.org/drawingml/2006/main">
              <a:graphicData uri="http://schemas.openxmlformats.org/drawingml/2006/picture">
                <pic:pic xmlns:pic="http://schemas.openxmlformats.org/drawingml/2006/picture">
                  <pic:nvPicPr>
                    <pic:cNvPr id="9" name="Picture 8" descr="Chart, bar chart&#10;&#10;Description automatically generated">
                      <a:extLst>
                        <a:ext uri="{FF2B5EF4-FFF2-40B4-BE49-F238E27FC236}">
                          <a16:creationId xmlns:a16="http://schemas.microsoft.com/office/drawing/2014/main" id="{17361444-F5FA-A04A-A9B7-023989249AC2}"/>
                        </a:ext>
                      </a:extLst>
                    </pic:cNvPr>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47340" cy="2418715"/>
                    </a:xfrm>
                    <a:prstGeom prst="rect">
                      <a:avLst/>
                    </a:prstGeom>
                  </pic:spPr>
                </pic:pic>
              </a:graphicData>
            </a:graphic>
            <wp14:sizeRelH relativeFrom="margin">
              <wp14:pctWidth>0</wp14:pctWidth>
            </wp14:sizeRelH>
            <wp14:sizeRelV relativeFrom="margin">
              <wp14:pctHeight>0</wp14:pctHeight>
            </wp14:sizeRelV>
          </wp:anchor>
        </w:drawing>
      </w:r>
      <w:r w:rsidRPr="007155AA">
        <w:rPr>
          <w:noProof/>
        </w:rPr>
        <mc:AlternateContent>
          <mc:Choice Requires="wps">
            <w:drawing>
              <wp:anchor distT="0" distB="0" distL="114300" distR="114300" simplePos="0" relativeHeight="251658244" behindDoc="0" locked="0" layoutInCell="1" allowOverlap="1" wp14:anchorId="2AAB5181" wp14:editId="4238046D">
                <wp:simplePos x="0" y="0"/>
                <wp:positionH relativeFrom="column">
                  <wp:posOffset>3082194</wp:posOffset>
                </wp:positionH>
                <wp:positionV relativeFrom="paragraph">
                  <wp:posOffset>1286132</wp:posOffset>
                </wp:positionV>
                <wp:extent cx="538480" cy="249555"/>
                <wp:effectExtent l="0" t="0" r="0" b="0"/>
                <wp:wrapSquare wrapText="bothSides"/>
                <wp:docPr id="13" name="TextBox 12">
                  <a:extLst xmlns:a="http://schemas.openxmlformats.org/drawingml/2006/main">
                    <a:ext uri="{FF2B5EF4-FFF2-40B4-BE49-F238E27FC236}">
                      <a16:creationId xmlns:a16="http://schemas.microsoft.com/office/drawing/2014/main" id="{7D3D9A4A-3577-D440-956D-EDA47D24CE53}"/>
                    </a:ext>
                  </a:extLst>
                </wp:docPr>
                <wp:cNvGraphicFramePr/>
                <a:graphic xmlns:a="http://schemas.openxmlformats.org/drawingml/2006/main">
                  <a:graphicData uri="http://schemas.microsoft.com/office/word/2010/wordprocessingShape">
                    <wps:wsp>
                      <wps:cNvSpPr txBox="1"/>
                      <wps:spPr>
                        <a:xfrm>
                          <a:off x="0" y="0"/>
                          <a:ext cx="538480" cy="249555"/>
                        </a:xfrm>
                        <a:prstGeom prst="rect">
                          <a:avLst/>
                        </a:prstGeom>
                      </wps:spPr>
                      <wps:txbx>
                        <w:txbxContent>
                          <w:p w14:paraId="2E82EE49" w14:textId="77777777" w:rsidR="00A645FD" w:rsidRDefault="00A645FD" w:rsidP="007155AA">
                            <w:pPr>
                              <w:spacing w:before="160"/>
                              <w:jc w:val="center"/>
                              <w:textAlignment w:val="baseline"/>
                              <w:rPr>
                                <w:rFonts w:ascii="Calibri" w:eastAsia="Calibri" w:hAnsi="Calibri" w:cs="Arial"/>
                                <w:color w:val="181818"/>
                                <w:spacing w:val="-6"/>
                                <w:kern w:val="20"/>
                                <w:sz w:val="10"/>
                                <w:szCs w:val="10"/>
                              </w:rPr>
                            </w:pPr>
                            <w:r>
                              <w:rPr>
                                <w:rFonts w:ascii="Calibri" w:eastAsia="Calibri" w:hAnsi="Calibri" w:cs="Arial"/>
                                <w:color w:val="181818"/>
                                <w:spacing w:val="-6"/>
                                <w:kern w:val="20"/>
                                <w:sz w:val="10"/>
                                <w:szCs w:val="10"/>
                              </w:rPr>
                              <w:t>No Blockage</w:t>
                            </w:r>
                          </w:p>
                        </w:txbxContent>
                      </wps:txbx>
                      <wps:bodyPr vert="horz" wrap="square" lIns="72000" tIns="36000" rIns="72000" bIns="36000" rtlCol="0" anchor="t">
                        <a:noAutofit/>
                      </wps:bodyPr>
                    </wps:wsp>
                  </a:graphicData>
                </a:graphic>
              </wp:anchor>
            </w:drawing>
          </mc:Choice>
          <mc:Fallback>
            <w:pict>
              <v:shapetype w14:anchorId="2AAB5181" id="_x0000_t202" coordsize="21600,21600" o:spt="202" path="m,l,21600r21600,l21600,xe">
                <v:stroke joinstyle="miter"/>
                <v:path gradientshapeok="t" o:connecttype="rect"/>
              </v:shapetype>
              <v:shape id="TextBox 12" o:spid="_x0000_s1034" type="#_x0000_t202" style="position:absolute;margin-left:242.7pt;margin-top:101.25pt;width:42.4pt;height:19.65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" filled="f" stroked="f">
                <v:textbox inset="2mm,1mm,2mm,1mm">
                  <w:txbxContent>
                    <w:p w14:paraId="2E82EE49" w14:textId="77777777" w:rsidR="00A645FD" w:rsidRDefault="00A645FD" w:rsidP="007155AA">
                      <w:pPr>
                        <w:spacing w:before="160"/>
                        <w:jc w:val="center"/>
                        <w:textAlignment w:val="baseline"/>
                        <w:rPr>
                          <w:rFonts w:ascii="Calibri" w:eastAsia="Calibri" w:hAnsi="Calibri" w:cs="Arial"/>
                          <w:color w:val="181818"/>
                          <w:spacing w:val="-6"/>
                          <w:kern w:val="20"/>
                          <w:sz w:val="10"/>
                          <w:szCs w:val="10"/>
                        </w:rPr>
                      </w:pPr>
                      <w:r>
                        <w:rPr>
                          <w:rFonts w:ascii="Calibri" w:eastAsia="Calibri" w:hAnsi="Calibri" w:cs="Arial"/>
                          <w:color w:val="181818"/>
                          <w:spacing w:val="-6"/>
                          <w:kern w:val="20"/>
                          <w:sz w:val="10"/>
                          <w:szCs w:val="10"/>
                        </w:rPr>
                        <w:t>No Blockage</w:t>
                      </w:r>
                    </w:p>
                  </w:txbxContent>
                </v:textbox>
                <w10:wrap type="square"/>
              </v:shape>
            </w:pict>
          </mc:Fallback>
        </mc:AlternateContent>
      </w:r>
      <w:r w:rsidRPr="007155AA">
        <w:rPr>
          <w:noProof/>
        </w:rPr>
        <mc:AlternateContent>
          <mc:Choice Requires="wps">
            <w:drawing>
              <wp:anchor distT="0" distB="0" distL="114300" distR="114300" simplePos="0" relativeHeight="251658243" behindDoc="0" locked="0" layoutInCell="1" allowOverlap="1" wp14:anchorId="09E90D93" wp14:editId="7A0E9ECA">
                <wp:simplePos x="0" y="0"/>
                <wp:positionH relativeFrom="column">
                  <wp:posOffset>3672205</wp:posOffset>
                </wp:positionH>
                <wp:positionV relativeFrom="paragraph">
                  <wp:posOffset>1176020</wp:posOffset>
                </wp:positionV>
                <wp:extent cx="455930" cy="474980"/>
                <wp:effectExtent l="0" t="0" r="0" b="0"/>
                <wp:wrapSquare wrapText="bothSides"/>
                <wp:docPr id="32" name="TextBox 11"/>
                <wp:cNvGraphicFramePr/>
                <a:graphic xmlns:a="http://schemas.openxmlformats.org/drawingml/2006/main">
                  <a:graphicData uri="http://schemas.microsoft.com/office/word/2010/wordprocessingShape">
                    <wps:wsp>
                      <wps:cNvSpPr txBox="1"/>
                      <wps:spPr>
                        <a:xfrm>
                          <a:off x="0" y="0"/>
                          <a:ext cx="455930" cy="474980"/>
                        </a:xfrm>
                        <a:prstGeom prst="rect">
                          <a:avLst/>
                        </a:prstGeom>
                      </wps:spPr>
                      <wps:txbx>
                        <w:txbxContent>
                          <w:p w14:paraId="1A2592F1" w14:textId="77777777" w:rsidR="00A645FD" w:rsidRDefault="00A645FD" w:rsidP="007155AA">
                            <w:pPr>
                              <w:spacing w:before="160"/>
                              <w:jc w:val="center"/>
                              <w:textAlignment w:val="baseline"/>
                              <w:rPr>
                                <w:rFonts w:ascii="Calibri" w:eastAsia="Calibri" w:hAnsi="Calibri" w:cs="Arial"/>
                                <w:color w:val="181818"/>
                                <w:spacing w:val="-6"/>
                                <w:kern w:val="20"/>
                                <w:sz w:val="10"/>
                                <w:szCs w:val="10"/>
                              </w:rPr>
                            </w:pPr>
                            <w:r>
                              <w:rPr>
                                <w:rFonts w:ascii="Calibri" w:eastAsia="Calibri" w:hAnsi="Calibri" w:cs="Arial"/>
                                <w:color w:val="181818"/>
                                <w:spacing w:val="-6"/>
                                <w:kern w:val="20"/>
                                <w:sz w:val="10"/>
                                <w:szCs w:val="10"/>
                              </w:rPr>
                              <w:t>Panel Blockage, no MPR</w:t>
                            </w:r>
                          </w:p>
                        </w:txbxContent>
                      </wps:txbx>
                      <wps:bodyPr vert="horz" wrap="square" lIns="72000" tIns="36000" rIns="72000" bIns="36000" rtlCol="0" anchor="t">
                        <a:noAutofit/>
                      </wps:bodyPr>
                    </wps:wsp>
                  </a:graphicData>
                </a:graphic>
              </wp:anchor>
            </w:drawing>
          </mc:Choice>
          <mc:Fallback>
            <w:pict>
              <v:shape w14:anchorId="09E90D93" id="TextBox 11" o:spid="_x0000_s1035" type="#_x0000_t202" style="position:absolute;margin-left:289.15pt;margin-top:92.6pt;width:35.9pt;height:37.4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" filled="f" stroked="f">
                <v:textbox inset="2mm,1mm,2mm,1mm">
                  <w:txbxContent>
                    <w:p w14:paraId="1A2592F1" w14:textId="77777777" w:rsidR="00A645FD" w:rsidRDefault="00A645FD" w:rsidP="007155AA">
                      <w:pPr>
                        <w:spacing w:before="160"/>
                        <w:jc w:val="center"/>
                        <w:textAlignment w:val="baseline"/>
                        <w:rPr>
                          <w:rFonts w:ascii="Calibri" w:eastAsia="Calibri" w:hAnsi="Calibri" w:cs="Arial"/>
                          <w:color w:val="181818"/>
                          <w:spacing w:val="-6"/>
                          <w:kern w:val="20"/>
                          <w:sz w:val="10"/>
                          <w:szCs w:val="10"/>
                        </w:rPr>
                      </w:pPr>
                      <w:r>
                        <w:rPr>
                          <w:rFonts w:ascii="Calibri" w:eastAsia="Calibri" w:hAnsi="Calibri" w:cs="Arial"/>
                          <w:color w:val="181818"/>
                          <w:spacing w:val="-6"/>
                          <w:kern w:val="20"/>
                          <w:sz w:val="10"/>
                          <w:szCs w:val="10"/>
                        </w:rPr>
                        <w:t>Panel Blockage, no MPR</w:t>
                      </w:r>
                    </w:p>
                  </w:txbxContent>
                </v:textbox>
                <w10:wrap type="square"/>
              </v:shape>
            </w:pict>
          </mc:Fallback>
        </mc:AlternateContent>
      </w:r>
      <w:r w:rsidRPr="007155AA">
        <w:rPr>
          <w:noProof/>
        </w:rPr>
        <mc:AlternateContent>
          <mc:Choice Requires="wps">
            <w:drawing>
              <wp:anchor distT="0" distB="0" distL="114300" distR="114300" simplePos="0" relativeHeight="251658242" behindDoc="0" locked="0" layoutInCell="1" allowOverlap="1" wp14:anchorId="7DA0A41A" wp14:editId="1DEE9961">
                <wp:simplePos x="0" y="0"/>
                <wp:positionH relativeFrom="column">
                  <wp:posOffset>4158615</wp:posOffset>
                </wp:positionH>
                <wp:positionV relativeFrom="paragraph">
                  <wp:posOffset>1141095</wp:posOffset>
                </wp:positionV>
                <wp:extent cx="538480" cy="560070"/>
                <wp:effectExtent l="0" t="0" r="0" b="0"/>
                <wp:wrapSquare wrapText="bothSides"/>
                <wp:docPr id="31" name="TextBox 10"/>
                <wp:cNvGraphicFramePr/>
                <a:graphic xmlns:a="http://schemas.openxmlformats.org/drawingml/2006/main">
                  <a:graphicData uri="http://schemas.microsoft.com/office/word/2010/wordprocessingShape">
                    <wps:wsp>
                      <wps:cNvSpPr txBox="1"/>
                      <wps:spPr>
                        <a:xfrm>
                          <a:off x="0" y="0"/>
                          <a:ext cx="538480" cy="560070"/>
                        </a:xfrm>
                        <a:prstGeom prst="rect">
                          <a:avLst/>
                        </a:prstGeom>
                      </wps:spPr>
                      <wps:txbx>
                        <w:txbxContent>
                          <w:p w14:paraId="0A632F98" w14:textId="77777777" w:rsidR="00A645FD" w:rsidRDefault="00A645FD" w:rsidP="007155AA">
                            <w:pPr>
                              <w:spacing w:before="160"/>
                              <w:jc w:val="center"/>
                              <w:textAlignment w:val="baseline"/>
                              <w:rPr>
                                <w:rFonts w:ascii="Calibri" w:eastAsia="Calibri" w:hAnsi="Calibri" w:cs="Arial"/>
                                <w:color w:val="181818"/>
                                <w:spacing w:val="-6"/>
                                <w:kern w:val="20"/>
                                <w:sz w:val="10"/>
                                <w:szCs w:val="10"/>
                              </w:rPr>
                            </w:pPr>
                            <w:r>
                              <w:rPr>
                                <w:rFonts w:ascii="Calibri" w:eastAsia="Calibri" w:hAnsi="Calibri" w:cs="Arial"/>
                                <w:color w:val="181818"/>
                                <w:spacing w:val="-6"/>
                                <w:kern w:val="20"/>
                                <w:sz w:val="10"/>
                                <w:szCs w:val="10"/>
                              </w:rPr>
                              <w:t>Panel Blockage, MPR, gNB MPE-unaware</w:t>
                            </w:r>
                          </w:p>
                        </w:txbxContent>
                      </wps:txbx>
                      <wps:bodyPr vert="horz" wrap="square" lIns="72000" tIns="36000" rIns="72000" bIns="36000" rtlCol="0" anchor="t">
                        <a:noAutofit/>
                      </wps:bodyPr>
                    </wps:wsp>
                  </a:graphicData>
                </a:graphic>
              </wp:anchor>
            </w:drawing>
          </mc:Choice>
          <mc:Fallback>
            <w:pict>
              <v:shape w14:anchorId="7DA0A41A" id="TextBox 10" o:spid="_x0000_s1036" type="#_x0000_t202" style="position:absolute;margin-left:327.45pt;margin-top:89.85pt;width:42.4pt;height:44.1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" filled="f" stroked="f">
                <v:textbox inset="2mm,1mm,2mm,1mm">
                  <w:txbxContent>
                    <w:p w14:paraId="0A632F98" w14:textId="77777777" w:rsidR="00A645FD" w:rsidRDefault="00A645FD" w:rsidP="007155AA">
                      <w:pPr>
                        <w:spacing w:before="160"/>
                        <w:jc w:val="center"/>
                        <w:textAlignment w:val="baseline"/>
                        <w:rPr>
                          <w:rFonts w:ascii="Calibri" w:eastAsia="Calibri" w:hAnsi="Calibri" w:cs="Arial"/>
                          <w:color w:val="181818"/>
                          <w:spacing w:val="-6"/>
                          <w:kern w:val="20"/>
                          <w:sz w:val="10"/>
                          <w:szCs w:val="10"/>
                        </w:rPr>
                      </w:pPr>
                      <w:r>
                        <w:rPr>
                          <w:rFonts w:ascii="Calibri" w:eastAsia="Calibri" w:hAnsi="Calibri" w:cs="Arial"/>
                          <w:color w:val="181818"/>
                          <w:spacing w:val="-6"/>
                          <w:kern w:val="20"/>
                          <w:sz w:val="10"/>
                          <w:szCs w:val="10"/>
                        </w:rPr>
                        <w:t>Panel Blockage, MPR, gNB MPE-unaware</w:t>
                      </w:r>
                    </w:p>
                  </w:txbxContent>
                </v:textbox>
                <w10:wrap type="square"/>
              </v:shape>
            </w:pict>
          </mc:Fallback>
        </mc:AlternateContent>
      </w:r>
      <w:r w:rsidRPr="007155AA">
        <w:rPr>
          <w:noProof/>
        </w:rPr>
        <mc:AlternateContent>
          <mc:Choice Requires="wps">
            <w:drawing>
              <wp:anchor distT="0" distB="0" distL="114300" distR="114300" simplePos="0" relativeHeight="251658241" behindDoc="0" locked="0" layoutInCell="1" allowOverlap="1" wp14:anchorId="7326E5FC" wp14:editId="7603BC68">
                <wp:simplePos x="0" y="0"/>
                <wp:positionH relativeFrom="column">
                  <wp:posOffset>4696460</wp:posOffset>
                </wp:positionH>
                <wp:positionV relativeFrom="paragraph">
                  <wp:posOffset>1141095</wp:posOffset>
                </wp:positionV>
                <wp:extent cx="538480" cy="560070"/>
                <wp:effectExtent l="0" t="0" r="0" b="0"/>
                <wp:wrapSquare wrapText="bothSides"/>
                <wp:docPr id="28" name="TextBox 8"/>
                <wp:cNvGraphicFramePr/>
                <a:graphic xmlns:a="http://schemas.openxmlformats.org/drawingml/2006/main">
                  <a:graphicData uri="http://schemas.microsoft.com/office/word/2010/wordprocessingShape">
                    <wps:wsp>
                      <wps:cNvSpPr txBox="1"/>
                      <wps:spPr>
                        <a:xfrm>
                          <a:off x="0" y="0"/>
                          <a:ext cx="538480" cy="560070"/>
                        </a:xfrm>
                        <a:prstGeom prst="rect">
                          <a:avLst/>
                        </a:prstGeom>
                      </wps:spPr>
                      <wps:txbx>
                        <w:txbxContent>
                          <w:p w14:paraId="49BA47D9" w14:textId="77777777" w:rsidR="00A645FD" w:rsidRDefault="00A645FD" w:rsidP="007155AA">
                            <w:pPr>
                              <w:spacing w:before="160"/>
                              <w:jc w:val="center"/>
                              <w:textAlignment w:val="baseline"/>
                              <w:rPr>
                                <w:rFonts w:ascii="Calibri" w:eastAsia="Calibri" w:hAnsi="Calibri" w:cs="Arial"/>
                                <w:color w:val="181818"/>
                                <w:spacing w:val="-6"/>
                                <w:kern w:val="20"/>
                                <w:sz w:val="10"/>
                                <w:szCs w:val="10"/>
                              </w:rPr>
                            </w:pPr>
                            <w:r>
                              <w:rPr>
                                <w:rFonts w:ascii="Calibri" w:eastAsia="Calibri" w:hAnsi="Calibri" w:cs="Arial"/>
                                <w:color w:val="181818"/>
                                <w:spacing w:val="-6"/>
                                <w:kern w:val="20"/>
                                <w:sz w:val="10"/>
                                <w:szCs w:val="10"/>
                              </w:rPr>
                              <w:t>Panel Blockage, MPR, gNB MPE-aware</w:t>
                            </w:r>
                          </w:p>
                        </w:txbxContent>
                      </wps:txbx>
                      <wps:bodyPr vert="horz" wrap="square" lIns="72000" tIns="36000" rIns="72000" bIns="36000" rtlCol="0" anchor="t">
                        <a:noAutofit/>
                      </wps:bodyPr>
                    </wps:wsp>
                  </a:graphicData>
                </a:graphic>
              </wp:anchor>
            </w:drawing>
          </mc:Choice>
          <mc:Fallback>
            <w:pict>
              <v:shape w14:anchorId="7326E5FC" id="TextBox 8" o:spid="_x0000_s1037" type="#_x0000_t202" style="position:absolute;margin-left:369.8pt;margin-top:89.85pt;width:42.4pt;height:44.1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" filled="f" stroked="f">
                <v:textbox inset="2mm,1mm,2mm,1mm">
                  <w:txbxContent>
                    <w:p w14:paraId="49BA47D9" w14:textId="77777777" w:rsidR="00A645FD" w:rsidRDefault="00A645FD" w:rsidP="007155AA">
                      <w:pPr>
                        <w:spacing w:before="160"/>
                        <w:jc w:val="center"/>
                        <w:textAlignment w:val="baseline"/>
                        <w:rPr>
                          <w:rFonts w:ascii="Calibri" w:eastAsia="Calibri" w:hAnsi="Calibri" w:cs="Arial"/>
                          <w:color w:val="181818"/>
                          <w:spacing w:val="-6"/>
                          <w:kern w:val="20"/>
                          <w:sz w:val="10"/>
                          <w:szCs w:val="10"/>
                        </w:rPr>
                      </w:pPr>
                      <w:r>
                        <w:rPr>
                          <w:rFonts w:ascii="Calibri" w:eastAsia="Calibri" w:hAnsi="Calibri" w:cs="Arial"/>
                          <w:color w:val="181818"/>
                          <w:spacing w:val="-6"/>
                          <w:kern w:val="20"/>
                          <w:sz w:val="10"/>
                          <w:szCs w:val="10"/>
                        </w:rPr>
                        <w:t>Panel Blockage, MPR, gNB MPE-aware</w:t>
                      </w:r>
                    </w:p>
                  </w:txbxContent>
                </v:textbox>
                <w10:wrap type="square"/>
              </v:shape>
            </w:pict>
          </mc:Fallback>
        </mc:AlternateContent>
      </w:r>
    </w:p>
    <w:p w14:paraId="09257F00" w14:textId="77777777" w:rsidR="007155AA" w:rsidRDefault="007155AA" w:rsidP="007155AA">
      <w:pPr>
        <w:pStyle w:val="Caption"/>
      </w:pPr>
      <w:bookmarkStart w:id="47" w:name="_Ref60923771"/>
    </w:p>
    <w:p w14:paraId="70A70ACC" w14:textId="77777777" w:rsidR="007155AA" w:rsidRDefault="007155AA" w:rsidP="007155AA">
      <w:pPr>
        <w:pStyle w:val="Caption"/>
      </w:pPr>
    </w:p>
    <w:p w14:paraId="2D4FB0BE" w14:textId="77777777" w:rsidR="007155AA" w:rsidRDefault="007155AA" w:rsidP="007155AA">
      <w:pPr>
        <w:pStyle w:val="Caption"/>
      </w:pPr>
    </w:p>
    <w:p w14:paraId="50B62E4C" w14:textId="77777777" w:rsidR="007155AA" w:rsidRDefault="007155AA" w:rsidP="007155AA">
      <w:pPr>
        <w:pStyle w:val="Caption"/>
      </w:pPr>
    </w:p>
    <w:p w14:paraId="3DFA28F1" w14:textId="77777777" w:rsidR="007155AA" w:rsidRDefault="007155AA" w:rsidP="007155AA">
      <w:pPr>
        <w:pStyle w:val="Caption"/>
      </w:pPr>
    </w:p>
    <w:p w14:paraId="6E3996C3" w14:textId="77777777" w:rsidR="007155AA" w:rsidRDefault="007155AA" w:rsidP="007155AA">
      <w:pPr>
        <w:pStyle w:val="Caption"/>
      </w:pPr>
    </w:p>
    <w:p w14:paraId="331B5D6C" w14:textId="77777777" w:rsidR="007155AA" w:rsidRDefault="007155AA" w:rsidP="007155AA">
      <w:pPr>
        <w:pStyle w:val="Caption"/>
      </w:pPr>
    </w:p>
    <w:p w14:paraId="1BE3D5E5" w14:textId="77777777" w:rsidR="007155AA" w:rsidRDefault="007155AA" w:rsidP="007155AA">
      <w:pPr>
        <w:pStyle w:val="Caption"/>
      </w:pPr>
    </w:p>
    <w:p w14:paraId="351CB4EF" w14:textId="1E525402" w:rsidR="00180B13" w:rsidRDefault="00180B13" w:rsidP="00C60880">
      <w:pPr>
        <w:pStyle w:val="Caption"/>
        <w:ind w:left="567" w:firstLine="567"/>
      </w:pPr>
      <w:bookmarkStart w:id="48" w:name="_Ref61612965"/>
      <w:r>
        <w:t xml:space="preserve">Figure </w:t>
      </w:r>
      <w:r>
        <w:fldChar w:fldCharType="begin"/>
      </w:r>
      <w:r>
        <w:instrText xml:space="preserve"> SEQ Figure \* ARABIC </w:instrText>
      </w:r>
      <w:r>
        <w:fldChar w:fldCharType="separate"/>
      </w:r>
      <w:r w:rsidR="000B407C">
        <w:rPr>
          <w:noProof/>
        </w:rPr>
        <w:t>3</w:t>
      </w:r>
      <w:r>
        <w:fldChar w:fldCharType="end"/>
      </w:r>
      <w:bookmarkEnd w:id="48"/>
      <w:r>
        <w:t xml:space="preserve">: User throughput.            </w:t>
      </w:r>
      <w:r w:rsidR="007155AA">
        <w:tab/>
      </w:r>
      <w:r w:rsidR="007155AA">
        <w:tab/>
      </w:r>
      <w:bookmarkStart w:id="49" w:name="_Ref61613057"/>
      <w:bookmarkStart w:id="50" w:name="_Ref61613190"/>
      <w:r>
        <w:t xml:space="preserve">Figure </w:t>
      </w:r>
      <w:r>
        <w:fldChar w:fldCharType="begin"/>
      </w:r>
      <w:r>
        <w:instrText xml:space="preserve"> SEQ Figure \* ARABIC </w:instrText>
      </w:r>
      <w:r>
        <w:fldChar w:fldCharType="separate"/>
      </w:r>
      <w:r w:rsidR="000B407C">
        <w:rPr>
          <w:noProof/>
        </w:rPr>
        <w:t>4</w:t>
      </w:r>
      <w:r>
        <w:fldChar w:fldCharType="end"/>
      </w:r>
      <w:bookmarkEnd w:id="49"/>
      <w:bookmarkEnd w:id="50"/>
      <w:r>
        <w:t>: Mean user throughput</w:t>
      </w:r>
      <w:bookmarkEnd w:id="47"/>
      <w:r>
        <w:t xml:space="preserve"> </w:t>
      </w:r>
    </w:p>
    <w:p w14:paraId="17D86CDE" w14:textId="24C86BCA" w:rsidR="00180B13" w:rsidRDefault="009C2F0A" w:rsidP="00180B13">
      <w:pPr>
        <w:keepNext/>
      </w:pPr>
      <w:r>
        <w:rPr>
          <w:noProof/>
        </w:rPr>
        <w:drawing>
          <wp:inline distT="0" distB="0" distL="0" distR="0" wp14:anchorId="5082659F" wp14:editId="642FE710">
            <wp:extent cx="2844482" cy="2652666"/>
            <wp:effectExtent l="0" t="0" r="635" b="1905"/>
            <wp:docPr id="26" name="Picture 2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Chart, line 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50409" cy="2658193"/>
                    </a:xfrm>
                    <a:prstGeom prst="rect">
                      <a:avLst/>
                    </a:prstGeom>
                  </pic:spPr>
                </pic:pic>
              </a:graphicData>
            </a:graphic>
          </wp:inline>
        </w:drawing>
      </w:r>
      <w:r w:rsidR="00EE6E3B">
        <w:rPr>
          <w:noProof/>
          <w:lang w:eastAsia="en-GB"/>
        </w:rPr>
        <w:drawing>
          <wp:inline distT="0" distB="0" distL="0" distR="0" wp14:anchorId="475CB43B" wp14:editId="2FE28F1F">
            <wp:extent cx="3003364" cy="2656036"/>
            <wp:effectExtent l="0" t="0" r="0" b="0"/>
            <wp:docPr id="34" name="Picture 3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Chart, line chart&#10;&#10;Description automatically generated"/>
                    <pic:cNvPicPr/>
                  </pic:nvPicPr>
                  <pic:blipFill rotWithShape="1">
                    <a:blip r:embed="rId16" cstate="print">
                      <a:extLst>
                        <a:ext uri="{28A0092B-C50C-407E-A947-70E740481C1C}">
                          <a14:useLocalDpi xmlns:a14="http://schemas.microsoft.com/office/drawing/2010/main" val="0"/>
                        </a:ext>
                      </a:extLst>
                    </a:blip>
                    <a:srcRect t="6330" b="4820"/>
                    <a:stretch/>
                  </pic:blipFill>
                  <pic:spPr bwMode="auto">
                    <a:xfrm>
                      <a:off x="0" y="0"/>
                      <a:ext cx="3061861" cy="2707768"/>
                    </a:xfrm>
                    <a:prstGeom prst="rect">
                      <a:avLst/>
                    </a:prstGeom>
                    <a:ln>
                      <a:noFill/>
                    </a:ln>
                    <a:extLst>
                      <a:ext uri="{53640926-AAD7-44D8-BBD7-CCE9431645EC}">
                        <a14:shadowObscured xmlns:a14="http://schemas.microsoft.com/office/drawing/2010/main"/>
                      </a:ext>
                    </a:extLst>
                  </pic:spPr>
                </pic:pic>
              </a:graphicData>
            </a:graphic>
          </wp:inline>
        </w:drawing>
      </w:r>
    </w:p>
    <w:p w14:paraId="646E90CC" w14:textId="6E0526E6" w:rsidR="00180B13" w:rsidRDefault="00180B13" w:rsidP="00C60880">
      <w:pPr>
        <w:pStyle w:val="Caption"/>
        <w:ind w:left="567" w:firstLine="567"/>
      </w:pPr>
      <w:bookmarkStart w:id="51" w:name="_Ref61613153"/>
      <w:bookmarkStart w:id="52" w:name="_Ref60924436"/>
      <w:r>
        <w:t xml:space="preserve">Figure </w:t>
      </w:r>
      <w:r>
        <w:fldChar w:fldCharType="begin"/>
      </w:r>
      <w:r>
        <w:instrText xml:space="preserve"> SEQ Figure \* ARABIC </w:instrText>
      </w:r>
      <w:r>
        <w:fldChar w:fldCharType="separate"/>
      </w:r>
      <w:r w:rsidR="000B407C">
        <w:rPr>
          <w:noProof/>
        </w:rPr>
        <w:t>5</w:t>
      </w:r>
      <w:r>
        <w:fldChar w:fldCharType="end"/>
      </w:r>
      <w:bookmarkEnd w:id="51"/>
      <w:r>
        <w:t xml:space="preserve">: UE Tx power </w:t>
      </w:r>
      <w:r>
        <w:tab/>
      </w:r>
      <w:r>
        <w:tab/>
      </w:r>
      <w:r>
        <w:tab/>
      </w:r>
      <w:r>
        <w:tab/>
        <w:t xml:space="preserve">  </w:t>
      </w:r>
      <w:bookmarkStart w:id="53" w:name="_Ref61613165"/>
      <w:r>
        <w:t xml:space="preserve">Figure </w:t>
      </w:r>
      <w:r>
        <w:fldChar w:fldCharType="begin"/>
      </w:r>
      <w:r>
        <w:instrText xml:space="preserve"> SEQ Figure \* ARABIC </w:instrText>
      </w:r>
      <w:r>
        <w:fldChar w:fldCharType="separate"/>
      </w:r>
      <w:r w:rsidR="000B407C">
        <w:rPr>
          <w:noProof/>
        </w:rPr>
        <w:t>6</w:t>
      </w:r>
      <w:r>
        <w:fldChar w:fldCharType="end"/>
      </w:r>
      <w:bookmarkEnd w:id="53"/>
      <w:r>
        <w:t>: Path</w:t>
      </w:r>
      <w:r w:rsidR="00EE6E3B">
        <w:t>-</w:t>
      </w:r>
      <w:r>
        <w:t>gain</w:t>
      </w:r>
      <w:r w:rsidR="00EE6E3B">
        <w:t xml:space="preserve"> difference</w:t>
      </w:r>
      <w:bookmarkEnd w:id="52"/>
    </w:p>
    <w:p w14:paraId="4E992F6C" w14:textId="0E3E1784" w:rsidR="0092523E" w:rsidRDefault="00C60880" w:rsidP="0092523E">
      <w:pPr>
        <w:rPr>
          <w:lang w:eastAsia="en-GB"/>
        </w:rPr>
      </w:pPr>
      <w:r>
        <w:rPr>
          <w:lang w:eastAsia="en-GB"/>
        </w:rPr>
        <w:fldChar w:fldCharType="begin"/>
      </w:r>
      <w:r>
        <w:rPr>
          <w:lang w:eastAsia="en-GB"/>
        </w:rPr>
        <w:instrText xml:space="preserve"> REF _Ref61612965 \h </w:instrText>
      </w:r>
      <w:r>
        <w:rPr>
          <w:lang w:eastAsia="en-GB"/>
        </w:rPr>
      </w:r>
      <w:r>
        <w:rPr>
          <w:lang w:eastAsia="en-GB"/>
        </w:rPr>
        <w:fldChar w:fldCharType="separate"/>
      </w:r>
      <w:r w:rsidR="000B407C">
        <w:t xml:space="preserve">Figure </w:t>
      </w:r>
      <w:r w:rsidR="000B407C">
        <w:rPr>
          <w:noProof/>
        </w:rPr>
        <w:t>3</w:t>
      </w:r>
      <w:r>
        <w:rPr>
          <w:lang w:eastAsia="en-GB"/>
        </w:rPr>
        <w:fldChar w:fldCharType="end"/>
      </w:r>
      <w:r w:rsidR="0092523E">
        <w:rPr>
          <w:lang w:eastAsia="en-GB"/>
        </w:rPr>
        <w:t xml:space="preserve"> and</w:t>
      </w:r>
      <w:r>
        <w:rPr>
          <w:lang w:eastAsia="en-GB"/>
        </w:rPr>
        <w:t xml:space="preserve"> </w:t>
      </w:r>
      <w:r>
        <w:rPr>
          <w:lang w:eastAsia="en-GB"/>
        </w:rPr>
        <w:fldChar w:fldCharType="begin"/>
      </w:r>
      <w:r>
        <w:rPr>
          <w:lang w:eastAsia="en-GB"/>
        </w:rPr>
        <w:instrText xml:space="preserve"> REF _Ref61613057 \h </w:instrText>
      </w:r>
      <w:r>
        <w:rPr>
          <w:lang w:eastAsia="en-GB"/>
        </w:rPr>
      </w:r>
      <w:r>
        <w:rPr>
          <w:lang w:eastAsia="en-GB"/>
        </w:rPr>
        <w:fldChar w:fldCharType="separate"/>
      </w:r>
      <w:r w:rsidR="000B407C">
        <w:t xml:space="preserve">Figure </w:t>
      </w:r>
      <w:r w:rsidR="000B407C">
        <w:rPr>
          <w:noProof/>
        </w:rPr>
        <w:t>4</w:t>
      </w:r>
      <w:r>
        <w:rPr>
          <w:lang w:eastAsia="en-GB"/>
        </w:rPr>
        <w:fldChar w:fldCharType="end"/>
      </w:r>
      <w:r w:rsidR="0092523E">
        <w:rPr>
          <w:lang w:eastAsia="en-GB"/>
        </w:rPr>
        <w:t xml:space="preserve"> </w:t>
      </w:r>
      <w:r w:rsidR="00975CE3">
        <w:rPr>
          <w:lang w:eastAsia="en-GB"/>
        </w:rPr>
        <w:t xml:space="preserve">show that </w:t>
      </w:r>
      <w:r w:rsidR="0092523E">
        <w:rPr>
          <w:lang w:eastAsia="en-GB"/>
        </w:rPr>
        <w:t>the MPE-aware scheduler does not offer better performance than the MPE-unaware one, it’s also interesting to note that the case “Panel blockage, no MPR” has similar performance to the other two “Panel blockage” cases, despite not having the maximum power reduction due to the panel blockage.</w:t>
      </w:r>
    </w:p>
    <w:p w14:paraId="2A5D1280" w14:textId="65FE20E4" w:rsidR="00975CE3" w:rsidRDefault="00C60880" w:rsidP="0092523E">
      <w:pPr>
        <w:rPr>
          <w:lang w:eastAsia="en-GB"/>
        </w:rPr>
      </w:pPr>
      <w:r>
        <w:rPr>
          <w:lang w:eastAsia="en-GB"/>
        </w:rPr>
        <w:fldChar w:fldCharType="begin"/>
      </w:r>
      <w:r>
        <w:rPr>
          <w:lang w:eastAsia="en-GB"/>
        </w:rPr>
        <w:instrText xml:space="preserve"> REF _Ref61613153 \h </w:instrText>
      </w:r>
      <w:r>
        <w:rPr>
          <w:lang w:eastAsia="en-GB"/>
        </w:rPr>
      </w:r>
      <w:r>
        <w:rPr>
          <w:lang w:eastAsia="en-GB"/>
        </w:rPr>
        <w:fldChar w:fldCharType="separate"/>
      </w:r>
      <w:r w:rsidR="000B407C">
        <w:t xml:space="preserve">Figure </w:t>
      </w:r>
      <w:r w:rsidR="000B407C">
        <w:rPr>
          <w:noProof/>
        </w:rPr>
        <w:t>5</w:t>
      </w:r>
      <w:r>
        <w:rPr>
          <w:lang w:eastAsia="en-GB"/>
        </w:rPr>
        <w:fldChar w:fldCharType="end"/>
      </w:r>
      <w:r>
        <w:rPr>
          <w:lang w:eastAsia="en-GB"/>
        </w:rPr>
        <w:t xml:space="preserve"> </w:t>
      </w:r>
      <w:r w:rsidR="00975CE3">
        <w:rPr>
          <w:lang w:eastAsia="en-GB"/>
        </w:rPr>
        <w:t>shows that the UEs are almost always coverage limited.</w:t>
      </w:r>
    </w:p>
    <w:p w14:paraId="15519CFD" w14:textId="06E3A2EC" w:rsidR="0020526A" w:rsidRDefault="00C60880" w:rsidP="00526A7C">
      <w:pPr>
        <w:rPr>
          <w:lang w:eastAsia="en-GB"/>
        </w:rPr>
      </w:pPr>
      <w:r>
        <w:rPr>
          <w:lang w:eastAsia="en-GB"/>
        </w:rPr>
        <w:fldChar w:fldCharType="begin"/>
      </w:r>
      <w:r>
        <w:rPr>
          <w:lang w:eastAsia="en-GB"/>
        </w:rPr>
        <w:instrText xml:space="preserve"> REF _Ref61613165 \h </w:instrText>
      </w:r>
      <w:r>
        <w:rPr>
          <w:lang w:eastAsia="en-GB"/>
        </w:rPr>
      </w:r>
      <w:r>
        <w:rPr>
          <w:lang w:eastAsia="en-GB"/>
        </w:rPr>
        <w:fldChar w:fldCharType="separate"/>
      </w:r>
      <w:r w:rsidR="000B407C">
        <w:t xml:space="preserve">Figure </w:t>
      </w:r>
      <w:r w:rsidR="000B407C">
        <w:rPr>
          <w:noProof/>
        </w:rPr>
        <w:t>6</w:t>
      </w:r>
      <w:r>
        <w:rPr>
          <w:lang w:eastAsia="en-GB"/>
        </w:rPr>
        <w:fldChar w:fldCharType="end"/>
      </w:r>
      <w:r>
        <w:rPr>
          <w:lang w:eastAsia="en-GB"/>
        </w:rPr>
        <w:t xml:space="preserve"> </w:t>
      </w:r>
      <w:r w:rsidR="00EE6E3B">
        <w:rPr>
          <w:lang w:eastAsia="en-GB"/>
        </w:rPr>
        <w:t>shows the difference in terms of path-gain between the best beam from the best panel, that will be used for the transmission, and the best beam from the second-best panel, that might be used in case the best panel is blocked. The result shows that in most of the cases (~95%) the path-gain difference is</w:t>
      </w:r>
      <w:r w:rsidR="00975CE3">
        <w:rPr>
          <w:lang w:eastAsia="en-GB"/>
        </w:rPr>
        <w:t xml:space="preserve"> less than 10 dB and this means that the scheduler, in case of blockage</w:t>
      </w:r>
      <w:r w:rsidR="00EE6E3B">
        <w:rPr>
          <w:lang w:eastAsia="en-GB"/>
        </w:rPr>
        <w:t xml:space="preserve"> of the best panel</w:t>
      </w:r>
      <w:r w:rsidR="00975CE3">
        <w:rPr>
          <w:lang w:eastAsia="en-GB"/>
        </w:rPr>
        <w:t xml:space="preserve"> (that as agreed </w:t>
      </w:r>
      <w:r w:rsidR="00EE6E3B">
        <w:rPr>
          <w:lang w:eastAsia="en-GB"/>
        </w:rPr>
        <w:t>in</w:t>
      </w:r>
      <w:r w:rsidR="00975CE3">
        <w:rPr>
          <w:lang w:eastAsia="en-GB"/>
        </w:rPr>
        <w:t xml:space="preserve"> the EVM</w:t>
      </w:r>
      <w:r w:rsidR="00EE6E3B">
        <w:rPr>
          <w:lang w:eastAsia="en-GB"/>
        </w:rPr>
        <w:t>s</w:t>
      </w:r>
      <w:r w:rsidR="00975CE3">
        <w:rPr>
          <w:lang w:eastAsia="en-GB"/>
        </w:rPr>
        <w:t xml:space="preserve"> introduce</w:t>
      </w:r>
      <w:r w:rsidR="00EE6E3B">
        <w:rPr>
          <w:lang w:eastAsia="en-GB"/>
        </w:rPr>
        <w:t>s</w:t>
      </w:r>
      <w:r w:rsidR="00975CE3">
        <w:rPr>
          <w:lang w:eastAsia="en-GB"/>
        </w:rPr>
        <w:t xml:space="preserve"> a 10 dB pathloss) </w:t>
      </w:r>
      <w:r w:rsidR="00EE6E3B">
        <w:rPr>
          <w:lang w:eastAsia="en-GB"/>
        </w:rPr>
        <w:t>in most of the cases</w:t>
      </w:r>
      <w:r w:rsidR="00975CE3">
        <w:rPr>
          <w:lang w:eastAsia="en-GB"/>
        </w:rPr>
        <w:t xml:space="preserve"> will switch to the best beam </w:t>
      </w:r>
      <w:r w:rsidR="00EE6E3B">
        <w:rPr>
          <w:lang w:eastAsia="en-GB"/>
        </w:rPr>
        <w:t>of</w:t>
      </w:r>
      <w:r w:rsidR="00975CE3">
        <w:rPr>
          <w:lang w:eastAsia="en-GB"/>
        </w:rPr>
        <w:t xml:space="preserve"> the second-best panel losing less than 10 dB without the need of considering the MPR issue. This explains why </w:t>
      </w:r>
      <w:r>
        <w:rPr>
          <w:lang w:eastAsia="en-GB"/>
        </w:rPr>
        <w:fldChar w:fldCharType="begin"/>
      </w:r>
      <w:r>
        <w:rPr>
          <w:lang w:eastAsia="en-GB"/>
        </w:rPr>
        <w:instrText xml:space="preserve"> REF _Ref61612965 \h </w:instrText>
      </w:r>
      <w:r>
        <w:rPr>
          <w:lang w:eastAsia="en-GB"/>
        </w:rPr>
      </w:r>
      <w:r>
        <w:rPr>
          <w:lang w:eastAsia="en-GB"/>
        </w:rPr>
        <w:fldChar w:fldCharType="separate"/>
      </w:r>
      <w:r w:rsidR="000B407C">
        <w:t xml:space="preserve">Figure </w:t>
      </w:r>
      <w:r w:rsidR="000B407C">
        <w:rPr>
          <w:noProof/>
        </w:rPr>
        <w:t>3</w:t>
      </w:r>
      <w:r>
        <w:rPr>
          <w:lang w:eastAsia="en-GB"/>
        </w:rPr>
        <w:fldChar w:fldCharType="end"/>
      </w:r>
      <w:r w:rsidR="00975CE3">
        <w:rPr>
          <w:lang w:eastAsia="en-GB"/>
        </w:rPr>
        <w:t xml:space="preserve"> and </w:t>
      </w:r>
      <w:r>
        <w:rPr>
          <w:lang w:eastAsia="en-GB"/>
        </w:rPr>
        <w:fldChar w:fldCharType="begin"/>
      </w:r>
      <w:r>
        <w:rPr>
          <w:lang w:eastAsia="en-GB"/>
        </w:rPr>
        <w:instrText xml:space="preserve"> REF _Ref61613190 \h </w:instrText>
      </w:r>
      <w:r>
        <w:rPr>
          <w:lang w:eastAsia="en-GB"/>
        </w:rPr>
      </w:r>
      <w:r>
        <w:rPr>
          <w:lang w:eastAsia="en-GB"/>
        </w:rPr>
        <w:fldChar w:fldCharType="separate"/>
      </w:r>
      <w:r w:rsidR="000B407C">
        <w:t xml:space="preserve">Figure </w:t>
      </w:r>
      <w:r w:rsidR="000B407C">
        <w:rPr>
          <w:noProof/>
        </w:rPr>
        <w:t>4</w:t>
      </w:r>
      <w:r>
        <w:rPr>
          <w:lang w:eastAsia="en-GB"/>
        </w:rPr>
        <w:fldChar w:fldCharType="end"/>
      </w:r>
      <w:r w:rsidR="00975CE3">
        <w:rPr>
          <w:lang w:eastAsia="en-GB"/>
        </w:rPr>
        <w:t xml:space="preserve"> there is a small difference between the “Panel blockage, no MPR” case and the “Panel blockage, MPR” cases and why </w:t>
      </w:r>
      <w:r w:rsidR="0038187D">
        <w:rPr>
          <w:lang w:eastAsia="en-GB"/>
        </w:rPr>
        <w:t>the MPE-aware scheduler does not give any improvement over the MPE-unaware one</w:t>
      </w:r>
      <w:r w:rsidR="00975CE3">
        <w:rPr>
          <w:lang w:eastAsia="en-GB"/>
        </w:rPr>
        <w:t>.</w:t>
      </w:r>
    </w:p>
    <w:p w14:paraId="5DC4ECCE" w14:textId="7CF3ECEA" w:rsidR="0020526A" w:rsidRPr="0020526A" w:rsidRDefault="0020526A" w:rsidP="0020526A">
      <w:pPr>
        <w:pStyle w:val="Observation"/>
      </w:pPr>
      <w:bookmarkStart w:id="54" w:name="_Toc61889345"/>
      <w:r>
        <w:t>Three-panels UEs with 4 antennas per panel have a good spherical coverage and different beams from different panels will have similar pathgain towards the same BS. So, it’s difficult to see the effect of panel blockage when the scheduler can switch the panel without a big pathloss</w:t>
      </w:r>
      <w:bookmarkEnd w:id="54"/>
    </w:p>
    <w:p w14:paraId="7D3E2438" w14:textId="05725146" w:rsidR="00455862" w:rsidRDefault="00455862" w:rsidP="00455862">
      <w:pPr>
        <w:pStyle w:val="Heading3"/>
      </w:pPr>
      <w:r>
        <w:t>2.4.</w:t>
      </w:r>
      <w:r w:rsidR="00557415">
        <w:t>2</w:t>
      </w:r>
      <w:r>
        <w:tab/>
      </w:r>
      <w:r w:rsidR="009D6DDD">
        <w:t>S</w:t>
      </w:r>
      <w:r w:rsidR="00653F47">
        <w:t>ignalling for fast panel switching</w:t>
      </w:r>
    </w:p>
    <w:p w14:paraId="04D2D1A2" w14:textId="683B3553" w:rsidR="00653F47" w:rsidRPr="00653F47" w:rsidRDefault="00653F47" w:rsidP="00653F47">
      <w:r w:rsidRPr="0033781A">
        <w:t xml:space="preserve">In </w:t>
      </w:r>
      <w:r>
        <w:t>RAN1#10</w:t>
      </w:r>
      <w:r w:rsidR="009D6DDD">
        <w:t>3</w:t>
      </w:r>
      <w:r>
        <w:t xml:space="preserve">e, the following </w:t>
      </w:r>
      <w:r w:rsidR="009D6DDD">
        <w:t>agreements was made</w:t>
      </w:r>
      <w:r>
        <w:t>:</w:t>
      </w:r>
    </w:p>
    <w:p w14:paraId="17BD351D" w14:textId="556B0A92" w:rsidR="00526A7C" w:rsidRPr="00526A7C" w:rsidRDefault="00526A7C" w:rsidP="00526A7C">
      <w:pPr>
        <w:rPr>
          <w:lang w:val="en-GB" w:eastAsia="ja-JP"/>
        </w:rPr>
      </w:pPr>
      <w:r>
        <w:rPr>
          <w:rFonts w:ascii="Times New Roman" w:hAnsi="Times New Roman" w:cs="Times New Roman"/>
          <w:noProof/>
        </w:rPr>
        <mc:AlternateContent>
          <mc:Choice Requires="wps">
            <w:drawing>
              <wp:inline distT="0" distB="0" distL="0" distR="0" wp14:anchorId="06816413" wp14:editId="6D97137A">
                <wp:extent cx="6120765" cy="1203325"/>
                <wp:effectExtent l="0" t="0" r="13335" b="15875"/>
                <wp:docPr id="16" name="Text Box 16"/>
                <wp:cNvGraphicFramePr/>
                <a:graphic xmlns:a="http://schemas.openxmlformats.org/drawingml/2006/main">
                  <a:graphicData uri="http://schemas.microsoft.com/office/word/2010/wordprocessingShape">
                    <wps:wsp>
                      <wps:cNvSpPr txBox="1"/>
                      <wps:spPr>
                        <a:xfrm>
                          <a:off x="0" y="0"/>
                          <a:ext cx="6120765" cy="1203325"/>
                        </a:xfrm>
                        <a:prstGeom prst="rect">
                          <a:avLst/>
                        </a:prstGeom>
                        <a:solidFill>
                          <a:schemeClr val="lt1"/>
                        </a:solidFill>
                        <a:ln w="6350">
                          <a:solidFill>
                            <a:prstClr val="black"/>
                          </a:solidFill>
                        </a:ln>
                      </wps:spPr>
                      <wps:txbx>
                        <w:txbxContent>
                          <w:p w14:paraId="6AF818BE" w14:textId="77777777" w:rsidR="00A645FD" w:rsidRPr="00635BF9" w:rsidRDefault="00A645FD" w:rsidP="009D6DDD">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b/>
                                <w:bCs/>
                                <w:szCs w:val="20"/>
                                <w:highlight w:val="green"/>
                                <w:lang w:val="en-GB"/>
                              </w:rPr>
                              <w:t>Agreement</w:t>
                            </w:r>
                          </w:p>
                          <w:p w14:paraId="4ADA1162" w14:textId="77777777" w:rsidR="00A645FD" w:rsidRPr="00635BF9" w:rsidRDefault="00A645FD" w:rsidP="009D6DDD">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In Rel-17 enhancement for facilitating fast uplink panel selection, the following use cases are assumed:</w:t>
                            </w:r>
                          </w:p>
                          <w:p w14:paraId="2AD9A6DB" w14:textId="77777777" w:rsidR="00A645FD" w:rsidRPr="00635BF9" w:rsidRDefault="00A645FD" w:rsidP="009D6DDD">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MPE mitigation</w:t>
                            </w:r>
                          </w:p>
                          <w:p w14:paraId="7AE2F99E" w14:textId="77777777" w:rsidR="00A645FD" w:rsidRPr="00635BF9" w:rsidRDefault="00A645FD" w:rsidP="009D6DDD">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UE power saving</w:t>
                            </w:r>
                          </w:p>
                          <w:p w14:paraId="708F2F56" w14:textId="77777777" w:rsidR="00A645FD" w:rsidRPr="00635BF9" w:rsidRDefault="00A645FD" w:rsidP="009D6DDD">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UL interference management</w:t>
                            </w:r>
                          </w:p>
                          <w:p w14:paraId="4017E9B5" w14:textId="77777777" w:rsidR="00A645FD" w:rsidRPr="00635BF9" w:rsidRDefault="00A645FD" w:rsidP="009D6DDD">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Support different configurations across panels</w:t>
                            </w:r>
                          </w:p>
                          <w:p w14:paraId="706D9B25" w14:textId="77777777" w:rsidR="00A645FD" w:rsidRPr="00635BF9" w:rsidRDefault="00A645FD" w:rsidP="009D6DDD">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UL mTRP </w:t>
                            </w:r>
                          </w:p>
                          <w:p w14:paraId="32BB3DD2" w14:textId="77777777" w:rsidR="00A645FD" w:rsidRPr="00635BF9" w:rsidRDefault="00A645FD" w:rsidP="009D6DDD">
                            <w:pPr>
                              <w:shd w:val="clear" w:color="auto" w:fill="FFFFFF"/>
                              <w:spacing w:after="0"/>
                              <w:jc w:val="both"/>
                              <w:rPr>
                                <w:rFonts w:ascii="Times New Roman" w:eastAsia="Batang" w:hAnsi="Times New Roman" w:cs="Times New Roman"/>
                                <w:szCs w:val="20"/>
                                <w:lang w:val="en-GB"/>
                              </w:rPr>
                            </w:pPr>
                          </w:p>
                          <w:p w14:paraId="543F621A" w14:textId="77777777" w:rsidR="00A645FD" w:rsidRPr="00635BF9" w:rsidRDefault="00A645FD" w:rsidP="009D6DDD">
                            <w:pPr>
                              <w:shd w:val="clear" w:color="auto" w:fill="FFFFFF"/>
                              <w:spacing w:after="0"/>
                              <w:jc w:val="both"/>
                              <w:rPr>
                                <w:rFonts w:ascii="Times New Roman" w:eastAsia="Batang" w:hAnsi="Times New Roman" w:cs="Times New Roman"/>
                                <w:b/>
                                <w:bCs/>
                                <w:szCs w:val="20"/>
                                <w:lang w:val="en-GB"/>
                              </w:rPr>
                            </w:pPr>
                            <w:r w:rsidRPr="00635BF9">
                              <w:rPr>
                                <w:rFonts w:ascii="Times New Roman" w:eastAsia="Batang" w:hAnsi="Times New Roman" w:cs="Times New Roman"/>
                                <w:b/>
                                <w:bCs/>
                                <w:szCs w:val="20"/>
                                <w:highlight w:val="green"/>
                                <w:lang w:val="en-GB"/>
                              </w:rPr>
                              <w:t>Agreement</w:t>
                            </w:r>
                          </w:p>
                          <w:p w14:paraId="1EA35DDB" w14:textId="77777777" w:rsidR="00A645FD" w:rsidRPr="00635BF9" w:rsidRDefault="00A645FD" w:rsidP="009D6DDD">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In Rel.17 enhancement for facilitating fast uplink panel selection, UE-initiated UL panel selection/activation are supported:</w:t>
                            </w:r>
                          </w:p>
                          <w:p w14:paraId="7C546F4D" w14:textId="77777777" w:rsidR="00A645FD" w:rsidRPr="00635BF9" w:rsidRDefault="00A645FD" w:rsidP="009D6DDD">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NW-initiated panel selection/activation is also supported</w:t>
                            </w:r>
                          </w:p>
                          <w:p w14:paraId="4E3EC785" w14:textId="77777777" w:rsidR="00A645FD" w:rsidRPr="00635BF9" w:rsidRDefault="00A645FD" w:rsidP="009D6DDD">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specification support for this feature is necessary and if so the details of such spec support.</w:t>
                            </w:r>
                          </w:p>
                          <w:p w14:paraId="59791E8B" w14:textId="77777777" w:rsidR="00A645FD" w:rsidRPr="00635BF9" w:rsidRDefault="00A645FD" w:rsidP="009D6DDD">
                            <w:pPr>
                              <w:snapToGrid w:val="0"/>
                              <w:spacing w:after="0"/>
                              <w:jc w:val="both"/>
                              <w:rPr>
                                <w:rFonts w:ascii="Times New Roman" w:eastAsia="Batang" w:hAnsi="Times New Roman" w:cs="Times New Roman"/>
                                <w:szCs w:val="20"/>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rto="http://schemas.microsoft.com/office/word/2006/arto">
            <w:pict>
              <v:shape w14:anchorId="06816413" id="Text Box 16" o:spid="_x0000_s1038" type="#_x0000_t202" style="width:481.95pt;height:9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" fillcolor="white [3201]" strokeweight=".5pt">
                <v:textbox style="mso-fit-shape-to-text:t">
                  <w:txbxContent>
                    <w:p w14:paraId="6AF818BE" w14:textId="77777777" w:rsidR="00A645FD" w:rsidRPr="00635BF9" w:rsidRDefault="00A645FD" w:rsidP="009D6DDD">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b/>
                          <w:bCs/>
                          <w:szCs w:val="20"/>
                          <w:highlight w:val="green"/>
                          <w:lang w:val="en-GB"/>
                        </w:rPr>
                        <w:t>Agreement</w:t>
                      </w:r>
                    </w:p>
                    <w:p w14:paraId="4ADA1162" w14:textId="77777777" w:rsidR="00A645FD" w:rsidRPr="00635BF9" w:rsidRDefault="00A645FD" w:rsidP="009D6DDD">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In Rel-17 enhancement for facilitating fast uplink panel selection, the following use cases are assumed:</w:t>
                      </w:r>
                    </w:p>
                    <w:p w14:paraId="2AD9A6DB" w14:textId="77777777" w:rsidR="00A645FD" w:rsidRPr="00635BF9" w:rsidRDefault="00A645FD" w:rsidP="009D6DDD">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MPE mitigation</w:t>
                      </w:r>
                    </w:p>
                    <w:p w14:paraId="7AE2F99E" w14:textId="77777777" w:rsidR="00A645FD" w:rsidRPr="00635BF9" w:rsidRDefault="00A645FD" w:rsidP="009D6DDD">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UE power saving</w:t>
                      </w:r>
                    </w:p>
                    <w:p w14:paraId="708F2F56" w14:textId="77777777" w:rsidR="00A645FD" w:rsidRPr="00635BF9" w:rsidRDefault="00A645FD" w:rsidP="009D6DDD">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UL interference management</w:t>
                      </w:r>
                    </w:p>
                    <w:p w14:paraId="4017E9B5" w14:textId="77777777" w:rsidR="00A645FD" w:rsidRPr="00635BF9" w:rsidRDefault="00A645FD" w:rsidP="009D6DDD">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Support different configurations across panels</w:t>
                      </w:r>
                    </w:p>
                    <w:p w14:paraId="706D9B25" w14:textId="77777777" w:rsidR="00A645FD" w:rsidRPr="00635BF9" w:rsidRDefault="00A645FD" w:rsidP="009D6DDD">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UL mTRP </w:t>
                      </w:r>
                    </w:p>
                    <w:p w14:paraId="32BB3DD2" w14:textId="77777777" w:rsidR="00A645FD" w:rsidRPr="00635BF9" w:rsidRDefault="00A645FD" w:rsidP="009D6DDD">
                      <w:pPr>
                        <w:shd w:val="clear" w:color="auto" w:fill="FFFFFF"/>
                        <w:spacing w:after="0"/>
                        <w:jc w:val="both"/>
                        <w:rPr>
                          <w:rFonts w:ascii="Times New Roman" w:eastAsia="Batang" w:hAnsi="Times New Roman" w:cs="Times New Roman"/>
                          <w:szCs w:val="20"/>
                          <w:lang w:val="en-GB"/>
                        </w:rPr>
                      </w:pPr>
                    </w:p>
                    <w:p w14:paraId="543F621A" w14:textId="77777777" w:rsidR="00A645FD" w:rsidRPr="00635BF9" w:rsidRDefault="00A645FD" w:rsidP="009D6DDD">
                      <w:pPr>
                        <w:shd w:val="clear" w:color="auto" w:fill="FFFFFF"/>
                        <w:spacing w:after="0"/>
                        <w:jc w:val="both"/>
                        <w:rPr>
                          <w:rFonts w:ascii="Times New Roman" w:eastAsia="Batang" w:hAnsi="Times New Roman" w:cs="Times New Roman"/>
                          <w:b/>
                          <w:bCs/>
                          <w:szCs w:val="20"/>
                          <w:lang w:val="en-GB"/>
                        </w:rPr>
                      </w:pPr>
                      <w:r w:rsidRPr="00635BF9">
                        <w:rPr>
                          <w:rFonts w:ascii="Times New Roman" w:eastAsia="Batang" w:hAnsi="Times New Roman" w:cs="Times New Roman"/>
                          <w:b/>
                          <w:bCs/>
                          <w:szCs w:val="20"/>
                          <w:highlight w:val="green"/>
                          <w:lang w:val="en-GB"/>
                        </w:rPr>
                        <w:t>Agreement</w:t>
                      </w:r>
                    </w:p>
                    <w:p w14:paraId="1EA35DDB" w14:textId="77777777" w:rsidR="00A645FD" w:rsidRPr="00635BF9" w:rsidRDefault="00A645FD" w:rsidP="009D6DDD">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In Rel.17 enhancement for facilitating fast uplink panel selection, UE-initiated UL panel selection/activation are supported:</w:t>
                      </w:r>
                    </w:p>
                    <w:p w14:paraId="7C546F4D" w14:textId="77777777" w:rsidR="00A645FD" w:rsidRPr="00635BF9" w:rsidRDefault="00A645FD" w:rsidP="009D6DDD">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NW-initiated panel selection/activation is also supported</w:t>
                      </w:r>
                    </w:p>
                    <w:p w14:paraId="4E3EC785" w14:textId="77777777" w:rsidR="00A645FD" w:rsidRPr="00635BF9" w:rsidRDefault="00A645FD" w:rsidP="009D6DDD">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specification support for this feature is necessary and if so the details of such spec support.</w:t>
                      </w:r>
                    </w:p>
                    <w:p w14:paraId="59791E8B" w14:textId="77777777" w:rsidR="00A645FD" w:rsidRPr="00635BF9" w:rsidRDefault="00A645FD" w:rsidP="009D6DDD">
                      <w:pPr>
                        <w:snapToGrid w:val="0"/>
                        <w:spacing w:after="0"/>
                        <w:jc w:val="both"/>
                        <w:rPr>
                          <w:rFonts w:ascii="Times New Roman" w:eastAsia="Batang" w:hAnsi="Times New Roman" w:cs="Times New Roman"/>
                          <w:szCs w:val="20"/>
                          <w:lang w:val="en-GB"/>
                        </w:rPr>
                      </w:pPr>
                    </w:p>
                  </w:txbxContent>
                </v:textbox>
                <w10:anchorlock/>
              </v:shape>
            </w:pict>
          </mc:Fallback>
        </mc:AlternateContent>
      </w:r>
    </w:p>
    <w:p w14:paraId="54A782A5" w14:textId="58CDD5D1" w:rsidR="00BE25C4" w:rsidRDefault="00BE25C4" w:rsidP="00BE25C4">
      <w:pPr>
        <w:rPr>
          <w:lang w:val="en-GB" w:eastAsia="ja-JP"/>
        </w:rPr>
      </w:pPr>
      <w:r>
        <w:rPr>
          <w:lang w:val="en-GB" w:eastAsia="ja-JP"/>
        </w:rPr>
        <w:t>The main purpose of having a separate UL TCI state is to make it possible for the NW to schedule traffic using different TCIs in UL and DL. Clearly, there must be signalling in place from the NW to the UE to facilitate such scheduling. The mechanism to convey such signalling is still open: the corresponding discussion is in subsection 2.1.</w:t>
      </w:r>
      <w:r w:rsidR="00282875">
        <w:rPr>
          <w:lang w:val="en-GB" w:eastAsia="ja-JP"/>
        </w:rPr>
        <w:t>2</w:t>
      </w:r>
      <w:r>
        <w:rPr>
          <w:lang w:val="en-GB" w:eastAsia="ja-JP"/>
        </w:rPr>
        <w:t>:</w:t>
      </w:r>
    </w:p>
    <w:p w14:paraId="394BCD08" w14:textId="77777777" w:rsidR="00BE25C4" w:rsidRDefault="00BE25C4" w:rsidP="00BE25C4">
      <w:pPr>
        <w:pStyle w:val="Observation"/>
        <w:rPr>
          <w:lang w:val="en-GB"/>
        </w:rPr>
      </w:pPr>
      <w:bookmarkStart w:id="55" w:name="_Toc61889346"/>
      <w:r>
        <w:rPr>
          <w:lang w:val="en-GB"/>
        </w:rPr>
        <w:t>The definition of a separate UL TCI in conjunction with the associated scheduling mechanism provides the necessary means to facilitate fast panel selection in UL.</w:t>
      </w:r>
      <w:bookmarkEnd w:id="55"/>
    </w:p>
    <w:p w14:paraId="10F836DB" w14:textId="709C7238" w:rsidR="00BE25C4" w:rsidRDefault="0021140B" w:rsidP="00A77734">
      <w:pPr>
        <w:rPr>
          <w:lang w:val="en-GB" w:eastAsia="ja-JP"/>
        </w:rPr>
      </w:pPr>
      <w:r w:rsidRPr="0021140B">
        <w:rPr>
          <w:lang w:val="en-GB" w:eastAsia="ja-JP"/>
        </w:rPr>
        <w:t xml:space="preserve">We </w:t>
      </w:r>
      <w:r>
        <w:rPr>
          <w:lang w:val="en-GB" w:eastAsia="ja-JP"/>
        </w:rPr>
        <w:t>note that all the use cases listed in the agreement could be supported using signalling of a separate UL TCI.</w:t>
      </w:r>
    </w:p>
    <w:p w14:paraId="6F24B4EE" w14:textId="77777777" w:rsidR="00B15836" w:rsidRDefault="00804F0D" w:rsidP="00A77734">
      <w:pPr>
        <w:rPr>
          <w:lang w:val="en-GB" w:eastAsia="ja-JP"/>
        </w:rPr>
      </w:pPr>
      <w:r>
        <w:rPr>
          <w:lang w:val="en-GB" w:eastAsia="ja-JP"/>
        </w:rPr>
        <w:t xml:space="preserve">UE-initiated panel selection/activation was agreed in RAN1#103-e. In Rel-15/16, the handling of the antenna panels in the UE is transparent to the network, leading to a high degree of design flexibility for the UE. </w:t>
      </w:r>
      <w:r w:rsidR="00136EBB">
        <w:rPr>
          <w:lang w:val="en-GB" w:eastAsia="ja-JP"/>
        </w:rPr>
        <w:t xml:space="preserve">This also reduces the burden on the network, since </w:t>
      </w:r>
      <w:r w:rsidR="007649F4">
        <w:rPr>
          <w:lang w:val="en-GB" w:eastAsia="ja-JP"/>
        </w:rPr>
        <w:t xml:space="preserve">there is no need to manage the individual panels. </w:t>
      </w:r>
      <w:r>
        <w:rPr>
          <w:lang w:val="en-GB" w:eastAsia="ja-JP"/>
        </w:rPr>
        <w:t>The Rel-15/1</w:t>
      </w:r>
      <w:r w:rsidR="00136EBB">
        <w:rPr>
          <w:lang w:val="en-GB" w:eastAsia="ja-JP"/>
        </w:rPr>
        <w:t>6</w:t>
      </w:r>
      <w:r>
        <w:rPr>
          <w:lang w:val="en-GB" w:eastAsia="ja-JP"/>
        </w:rPr>
        <w:t xml:space="preserve"> signalling is performed using measurements and </w:t>
      </w:r>
      <w:r w:rsidR="00136EBB">
        <w:rPr>
          <w:lang w:val="en-GB" w:eastAsia="ja-JP"/>
        </w:rPr>
        <w:t>spatial relations, avoiding the need for any explicit panel ID.</w:t>
      </w:r>
    </w:p>
    <w:p w14:paraId="3CD6B3DF" w14:textId="132C0A02" w:rsidR="0021140B" w:rsidRDefault="00B15836" w:rsidP="00A77734">
      <w:pPr>
        <w:rPr>
          <w:lang w:val="en-GB" w:eastAsia="ja-JP"/>
        </w:rPr>
      </w:pPr>
      <w:r>
        <w:rPr>
          <w:lang w:val="en-GB" w:eastAsia="ja-JP"/>
        </w:rPr>
        <w:t xml:space="preserve">Due to </w:t>
      </w:r>
      <w:r w:rsidR="004236E1">
        <w:rPr>
          <w:lang w:val="en-GB" w:eastAsia="ja-JP"/>
        </w:rPr>
        <w:t>these</w:t>
      </w:r>
      <w:r>
        <w:rPr>
          <w:lang w:val="en-GB" w:eastAsia="ja-JP"/>
        </w:rPr>
        <w:t xml:space="preserve"> fundamental advantages, we prefer to keep the UE antenna panels hidden</w:t>
      </w:r>
      <w:r w:rsidR="00136EBB">
        <w:rPr>
          <w:lang w:val="en-GB" w:eastAsia="ja-JP"/>
        </w:rPr>
        <w:t xml:space="preserve"> </w:t>
      </w:r>
      <w:r>
        <w:rPr>
          <w:lang w:val="en-GB" w:eastAsia="ja-JP"/>
        </w:rPr>
        <w:t xml:space="preserve">from the network. We also fail to see why the UE should expose its panel status to the network. </w:t>
      </w:r>
      <w:r w:rsidR="00C64D18">
        <w:rPr>
          <w:lang w:val="en-GB" w:eastAsia="ja-JP"/>
        </w:rPr>
        <w:t xml:space="preserve">In Rel-15/16, the measurements reports sent by the UE provide the network with information to handle the communication. The network controls the spatial properties of the reception and transmission using TCI states and spatial relations. The NW may choose to activate TCI states, which means that the UE must be prepared to receive using the panel corresponding to the activated TCI states after a short delay. </w:t>
      </w:r>
    </w:p>
    <w:p w14:paraId="13FB3063" w14:textId="7EFD4CED" w:rsidR="00C64D18" w:rsidRDefault="00C64D18" w:rsidP="00A77734">
      <w:pPr>
        <w:rPr>
          <w:lang w:val="en-GB" w:eastAsia="ja-JP"/>
        </w:rPr>
      </w:pPr>
      <w:r>
        <w:rPr>
          <w:lang w:val="en-GB" w:eastAsia="ja-JP"/>
        </w:rPr>
        <w:t xml:space="preserve">We propose to extend this interpretation to the unified TCI framework: a UE </w:t>
      </w:r>
      <w:r w:rsidR="00BB6E10">
        <w:rPr>
          <w:lang w:val="en-GB" w:eastAsia="ja-JP"/>
        </w:rPr>
        <w:t xml:space="preserve">must be prepared </w:t>
      </w:r>
      <w:bookmarkStart w:id="56" w:name="_Hlk61440868"/>
      <w:r>
        <w:rPr>
          <w:lang w:val="en-GB" w:eastAsia="ja-JP"/>
        </w:rPr>
        <w:t xml:space="preserve">to receive on a panel corresponding to an </w:t>
      </w:r>
      <w:r w:rsidR="00BB6E10">
        <w:rPr>
          <w:lang w:val="en-GB" w:eastAsia="ja-JP"/>
        </w:rPr>
        <w:t>activate DL TCI state, and must be prepared to transmit on a panel corresponding to an activate UL TCI state</w:t>
      </w:r>
      <w:bookmarkEnd w:id="56"/>
      <w:r w:rsidR="00BB6E10">
        <w:rPr>
          <w:lang w:val="en-GB" w:eastAsia="ja-JP"/>
        </w:rPr>
        <w:t>:</w:t>
      </w:r>
    </w:p>
    <w:p w14:paraId="567D18E2" w14:textId="30DE5CA9" w:rsidR="00BB6E10" w:rsidRDefault="000366D8" w:rsidP="00BB6E10">
      <w:pPr>
        <w:pStyle w:val="Proposal"/>
        <w:rPr>
          <w:lang w:val="en-GB"/>
        </w:rPr>
      </w:pPr>
      <w:bookmarkStart w:id="57" w:name="_Toc61889380"/>
      <w:r>
        <w:rPr>
          <w:lang w:val="en-GB"/>
        </w:rPr>
        <w:t>After a small delay, t</w:t>
      </w:r>
      <w:r w:rsidR="00BB6E10">
        <w:rPr>
          <w:lang w:val="en-GB"/>
        </w:rPr>
        <w:t xml:space="preserve">he UE must be prepared to </w:t>
      </w:r>
      <w:r w:rsidR="00BB6E10">
        <w:rPr>
          <w:lang w:val="en-GB" w:eastAsia="ja-JP"/>
        </w:rPr>
        <w:t xml:space="preserve">receive on a panel corresponding to an </w:t>
      </w:r>
      <w:r w:rsidR="00BB6E10" w:rsidRPr="000366D8">
        <w:rPr>
          <w:i/>
          <w:iCs/>
          <w:lang w:val="en-GB" w:eastAsia="ja-JP"/>
        </w:rPr>
        <w:t>activate</w:t>
      </w:r>
      <w:r w:rsidRPr="000366D8">
        <w:rPr>
          <w:i/>
          <w:iCs/>
          <w:lang w:val="en-GB" w:eastAsia="ja-JP"/>
        </w:rPr>
        <w:t>d</w:t>
      </w:r>
      <w:r w:rsidR="00BB6E10" w:rsidRPr="000366D8">
        <w:rPr>
          <w:i/>
          <w:iCs/>
          <w:lang w:val="en-GB" w:eastAsia="ja-JP"/>
        </w:rPr>
        <w:t xml:space="preserve"> DL TCI state</w:t>
      </w:r>
      <w:r w:rsidR="00BB6E10">
        <w:rPr>
          <w:lang w:val="en-GB" w:eastAsia="ja-JP"/>
        </w:rPr>
        <w:t xml:space="preserve">, and must be prepared to transmit on a panel corresponding to an </w:t>
      </w:r>
      <w:r w:rsidR="00BB6E10" w:rsidRPr="000366D8">
        <w:rPr>
          <w:i/>
          <w:iCs/>
          <w:lang w:val="en-GB" w:eastAsia="ja-JP"/>
        </w:rPr>
        <w:t>activate</w:t>
      </w:r>
      <w:r w:rsidRPr="000366D8">
        <w:rPr>
          <w:i/>
          <w:iCs/>
          <w:lang w:val="en-GB" w:eastAsia="ja-JP"/>
        </w:rPr>
        <w:t>d</w:t>
      </w:r>
      <w:r w:rsidR="00BB6E10" w:rsidRPr="000366D8">
        <w:rPr>
          <w:i/>
          <w:iCs/>
          <w:lang w:val="en-GB" w:eastAsia="ja-JP"/>
        </w:rPr>
        <w:t xml:space="preserve"> UL TCI state</w:t>
      </w:r>
      <w:r w:rsidR="00BB6E10">
        <w:rPr>
          <w:lang w:val="en-GB" w:eastAsia="ja-JP"/>
        </w:rPr>
        <w:t>.</w:t>
      </w:r>
      <w:bookmarkEnd w:id="57"/>
    </w:p>
    <w:p w14:paraId="5B94527B" w14:textId="1B88BC48" w:rsidR="00BB6E10" w:rsidRDefault="00BB6E10" w:rsidP="00BB6E10">
      <w:pPr>
        <w:pStyle w:val="BodyText"/>
        <w:rPr>
          <w:lang w:val="en-GB"/>
        </w:rPr>
      </w:pPr>
      <w:r>
        <w:rPr>
          <w:lang w:val="en-GB"/>
        </w:rPr>
        <w:t xml:space="preserve">With this approach, the UE can freely </w:t>
      </w:r>
      <w:r w:rsidR="00D44065">
        <w:rPr>
          <w:lang w:val="en-GB"/>
        </w:rPr>
        <w:t>de</w:t>
      </w:r>
      <w:r>
        <w:rPr>
          <w:lang w:val="en-GB"/>
        </w:rPr>
        <w:t xml:space="preserve">activate </w:t>
      </w:r>
      <w:r w:rsidR="000366D8">
        <w:rPr>
          <w:lang w:val="en-GB"/>
        </w:rPr>
        <w:t xml:space="preserve">only </w:t>
      </w:r>
      <w:r>
        <w:rPr>
          <w:lang w:val="en-GB"/>
        </w:rPr>
        <w:t xml:space="preserve">panels that </w:t>
      </w:r>
      <w:r w:rsidR="000366D8">
        <w:rPr>
          <w:lang w:val="en-GB"/>
        </w:rPr>
        <w:t xml:space="preserve">do not </w:t>
      </w:r>
      <w:r>
        <w:rPr>
          <w:lang w:val="en-GB"/>
        </w:rPr>
        <w:t xml:space="preserve">correspond to </w:t>
      </w:r>
      <w:r w:rsidRPr="000366D8">
        <w:rPr>
          <w:i/>
          <w:iCs/>
          <w:lang w:val="en-GB"/>
        </w:rPr>
        <w:t>activate</w:t>
      </w:r>
      <w:r w:rsidR="004236E1">
        <w:rPr>
          <w:i/>
          <w:iCs/>
          <w:lang w:val="en-GB"/>
        </w:rPr>
        <w:t>d</w:t>
      </w:r>
      <w:r>
        <w:rPr>
          <w:lang w:val="en-GB"/>
        </w:rPr>
        <w:t xml:space="preserve"> TCI states.</w:t>
      </w:r>
      <w:r w:rsidR="000366D8">
        <w:rPr>
          <w:lang w:val="en-GB"/>
        </w:rPr>
        <w:t xml:space="preserve"> Panel that correspond to activated TCI states cannot be freely deactivated.</w:t>
      </w:r>
      <w:r>
        <w:rPr>
          <w:lang w:val="en-GB"/>
        </w:rPr>
        <w:t xml:space="preserve"> However, </w:t>
      </w:r>
      <w:r w:rsidR="00D44065">
        <w:rPr>
          <w:lang w:val="en-GB"/>
        </w:rPr>
        <w:t>the activated TCI states would correspond to useful beam pair links, and the UE should typically not deactivate panels corresponding to useful beam pair links.</w:t>
      </w:r>
      <w:r w:rsidR="000366D8">
        <w:rPr>
          <w:lang w:val="en-GB"/>
        </w:rPr>
        <w:t xml:space="preserve"> </w:t>
      </w:r>
      <w:r w:rsidR="006B5F2D">
        <w:rPr>
          <w:lang w:val="en-GB"/>
        </w:rPr>
        <w:t>(</w:t>
      </w:r>
      <w:r w:rsidR="000366D8">
        <w:rPr>
          <w:lang w:val="en-GB"/>
        </w:rPr>
        <w:t>Nor does the NW activate TCI states corresponding to useless beam pair links.</w:t>
      </w:r>
      <w:r w:rsidR="006B5F2D">
        <w:rPr>
          <w:lang w:val="en-GB"/>
        </w:rPr>
        <w:t>)</w:t>
      </w:r>
      <w:r w:rsidR="000366D8">
        <w:rPr>
          <w:lang w:val="en-GB"/>
        </w:rPr>
        <w:t xml:space="preserve"> The UE is of course still allowed to reduce the transmit power on certain panels to comply with regulatory requirements. This may simply lead to degraded performance for some transmissions.</w:t>
      </w:r>
      <w:r w:rsidR="00D44065">
        <w:rPr>
          <w:lang w:val="en-GB"/>
        </w:rPr>
        <w:t xml:space="preserve"> </w:t>
      </w:r>
    </w:p>
    <w:p w14:paraId="49D4AE5A" w14:textId="623D1C16" w:rsidR="00901834" w:rsidRDefault="000366D8" w:rsidP="00A65704">
      <w:pPr>
        <w:pStyle w:val="BodyText"/>
        <w:rPr>
          <w:rFonts w:cs="Arial"/>
          <w:szCs w:val="20"/>
          <w:lang w:val="en-GB" w:eastAsia="ja-JP"/>
        </w:rPr>
      </w:pPr>
      <w:r>
        <w:rPr>
          <w:lang w:val="en-GB"/>
        </w:rPr>
        <w:t>There is no requirement for the UE to keep a panel corresponding to a deactivated TCI state active, even if the UE performed measurements using that panel.</w:t>
      </w:r>
    </w:p>
    <w:p w14:paraId="1D78DE92" w14:textId="60987BA5" w:rsidR="00557415" w:rsidRDefault="00557415" w:rsidP="00557415">
      <w:pPr>
        <w:pStyle w:val="Heading3"/>
      </w:pPr>
      <w:r>
        <w:t>2.4.3</w:t>
      </w:r>
      <w:r>
        <w:tab/>
        <w:t>UE reporting for MPE mitigation</w:t>
      </w:r>
    </w:p>
    <w:p w14:paraId="54CC41F5" w14:textId="2233395E" w:rsidR="00901834" w:rsidRPr="00901834" w:rsidRDefault="00901834" w:rsidP="00901834">
      <w:pPr>
        <w:rPr>
          <w:lang w:val="en-GB" w:eastAsia="ja-JP"/>
        </w:rPr>
      </w:pPr>
      <w:r>
        <w:rPr>
          <w:lang w:val="en-GB" w:eastAsia="ja-JP"/>
        </w:rPr>
        <w:t>In RAN1#10</w:t>
      </w:r>
      <w:r w:rsidR="006B5F2D">
        <w:rPr>
          <w:lang w:val="en-GB" w:eastAsia="ja-JP"/>
        </w:rPr>
        <w:t>3</w:t>
      </w:r>
      <w:r>
        <w:rPr>
          <w:lang w:val="en-GB" w:eastAsia="ja-JP"/>
        </w:rPr>
        <w:t>-e, the following was agreed</w:t>
      </w:r>
    </w:p>
    <w:p w14:paraId="2191E707" w14:textId="1DD07402" w:rsidR="00901834" w:rsidRPr="00901834" w:rsidRDefault="00901834" w:rsidP="00901834">
      <w:pPr>
        <w:rPr>
          <w:lang w:val="en-GB" w:eastAsia="ja-JP"/>
        </w:rPr>
      </w:pPr>
      <w:r>
        <w:rPr>
          <w:rFonts w:ascii="Times New Roman" w:hAnsi="Times New Roman" w:cs="Times New Roman"/>
          <w:noProof/>
        </w:rPr>
        <mc:AlternateContent>
          <mc:Choice Requires="wps">
            <w:drawing>
              <wp:inline distT="0" distB="0" distL="0" distR="0" wp14:anchorId="49702457" wp14:editId="6E2EF5A5">
                <wp:extent cx="6120765" cy="1203325"/>
                <wp:effectExtent l="0" t="0" r="13335" b="15875"/>
                <wp:docPr id="11" name="Text Box 11"/>
                <wp:cNvGraphicFramePr/>
                <a:graphic xmlns:a="http://schemas.openxmlformats.org/drawingml/2006/main">
                  <a:graphicData uri="http://schemas.microsoft.com/office/word/2010/wordprocessingShape">
                    <wps:wsp>
                      <wps:cNvSpPr txBox="1"/>
                      <wps:spPr>
                        <a:xfrm>
                          <a:off x="0" y="0"/>
                          <a:ext cx="6120765" cy="1203325"/>
                        </a:xfrm>
                        <a:prstGeom prst="rect">
                          <a:avLst/>
                        </a:prstGeom>
                        <a:solidFill>
                          <a:schemeClr val="lt1"/>
                        </a:solidFill>
                        <a:ln w="6350">
                          <a:solidFill>
                            <a:prstClr val="black"/>
                          </a:solidFill>
                        </a:ln>
                      </wps:spPr>
                      <wps:txbx>
                        <w:txbxContent>
                          <w:p w14:paraId="0C1773B8" w14:textId="229C92D7" w:rsidR="00A645FD" w:rsidRPr="00635BF9" w:rsidRDefault="00A645FD" w:rsidP="00901834">
                            <w:pPr>
                              <w:shd w:val="clear" w:color="auto" w:fill="FFFFFF"/>
                              <w:spacing w:after="0"/>
                              <w:jc w:val="both"/>
                              <w:rPr>
                                <w:rFonts w:ascii="Times New Roman" w:eastAsia="Batang" w:hAnsi="Times New Roman" w:cs="Times New Roman"/>
                                <w:b/>
                                <w:bCs/>
                                <w:szCs w:val="20"/>
                                <w:lang w:val="en-GB"/>
                              </w:rPr>
                            </w:pPr>
                            <w:r>
                              <w:rPr>
                                <w:rFonts w:ascii="Times New Roman" w:eastAsia="Batang" w:hAnsi="Times New Roman" w:cs="Times New Roman"/>
                                <w:b/>
                                <w:bCs/>
                                <w:szCs w:val="20"/>
                                <w:highlight w:val="green"/>
                                <w:lang w:val="en-GB"/>
                              </w:rPr>
                              <w:t>RAN1#102-e a</w:t>
                            </w:r>
                            <w:r w:rsidRPr="00635BF9">
                              <w:rPr>
                                <w:rFonts w:ascii="Times New Roman" w:eastAsia="Batang" w:hAnsi="Times New Roman" w:cs="Times New Roman"/>
                                <w:b/>
                                <w:bCs/>
                                <w:szCs w:val="20"/>
                                <w:highlight w:val="green"/>
                                <w:lang w:val="en-GB"/>
                              </w:rPr>
                              <w:t>greement</w:t>
                            </w:r>
                          </w:p>
                          <w:p w14:paraId="7ABF199B" w14:textId="77777777" w:rsidR="00A645FD" w:rsidRPr="00635BF9" w:rsidRDefault="00A645FD" w:rsidP="00901834">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On UE reporting for MPE mitigation for Rel-17, investigate and, if needed, specify the following:</w:t>
                            </w:r>
                          </w:p>
                          <w:p w14:paraId="10463F41" w14:textId="77777777" w:rsidR="00A645FD" w:rsidRPr="00635BF9" w:rsidRDefault="00A645FD" w:rsidP="00901834">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Reporting of P-MPR report based on Rel.16 framework.</w:t>
                            </w:r>
                          </w:p>
                          <w:p w14:paraId="71F56279" w14:textId="77777777" w:rsidR="00A645FD" w:rsidRPr="00635BF9" w:rsidRDefault="00A645FD" w:rsidP="00901834">
                            <w:pPr>
                              <w:numPr>
                                <w:ilvl w:val="1"/>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panel/beam level based P-MPR report is supported</w:t>
                            </w:r>
                          </w:p>
                          <w:p w14:paraId="6DCFAF32" w14:textId="77777777" w:rsidR="00A645FD" w:rsidRPr="00635BF9" w:rsidRDefault="00A645FD" w:rsidP="00901834">
                            <w:pPr>
                              <w:numPr>
                                <w:ilvl w:val="1"/>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FFS: Maximum reported number of panels, e.g. single or multiple  </w:t>
                            </w:r>
                          </w:p>
                          <w:p w14:paraId="5380F917" w14:textId="77777777" w:rsidR="00A645FD" w:rsidRPr="00635BF9" w:rsidRDefault="00A645FD" w:rsidP="00901834">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Reporting SSBRI(s)/CRI(s) and/or indication of panel selection for the purpose of indicating:</w:t>
                            </w:r>
                          </w:p>
                          <w:p w14:paraId="15E0BECD" w14:textId="77777777" w:rsidR="00A645FD" w:rsidRPr="00635BF9" w:rsidRDefault="00A645FD" w:rsidP="00901834">
                            <w:pPr>
                              <w:numPr>
                                <w:ilvl w:val="1"/>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Alt1: alternative UE panel(s) or TX beam(s) for UL transmission</w:t>
                            </w:r>
                          </w:p>
                          <w:p w14:paraId="6A0470F9" w14:textId="77777777" w:rsidR="00A645FD" w:rsidRPr="00635BF9" w:rsidRDefault="00A645FD" w:rsidP="00901834">
                            <w:pPr>
                              <w:numPr>
                                <w:ilvl w:val="1"/>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Alt2: feasible UE panel(s) or TX beam(s) for UL transmission taking the MPE effect into account</w:t>
                            </w:r>
                          </w:p>
                          <w:p w14:paraId="476EEAA1" w14:textId="77777777" w:rsidR="00A645FD" w:rsidRPr="00635BF9" w:rsidRDefault="00A645FD" w:rsidP="00901834">
                            <w:pPr>
                              <w:numPr>
                                <w:ilvl w:val="1"/>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indication of panel selection details (e.g. explicit/implicit)</w:t>
                            </w:r>
                          </w:p>
                          <w:p w14:paraId="052C0B18" w14:textId="77777777" w:rsidR="00A645FD" w:rsidRPr="00635BF9" w:rsidRDefault="00A645FD" w:rsidP="00901834">
                            <w:pPr>
                              <w:numPr>
                                <w:ilvl w:val="0"/>
                                <w:numId w:val="13"/>
                              </w:numPr>
                              <w:snapToGrid w:val="0"/>
                              <w:spacing w:after="0" w:line="240" w:lineRule="auto"/>
                              <w:contextualSpacing/>
                              <w:jc w:val="both"/>
                              <w:rPr>
                                <w:rFonts w:ascii="Times New Roman" w:eastAsia="Batang" w:hAnsi="Times New Roman" w:cs="Times New Roman"/>
                                <w:szCs w:val="20"/>
                                <w:lang w:eastAsia="ko-KR"/>
                              </w:rPr>
                            </w:pPr>
                            <w:r w:rsidRPr="00635BF9">
                              <w:rPr>
                                <w:rFonts w:ascii="Times New Roman" w:eastAsia="Batang" w:hAnsi="Times New Roman" w:cs="Times New Roman"/>
                                <w:szCs w:val="20"/>
                                <w:lang w:val="en-GB" w:eastAsia="x-none"/>
                              </w:rPr>
                              <w:t xml:space="preserve">Any additional reporting content: down-select from the following in RAN1#104-e </w:t>
                            </w:r>
                          </w:p>
                          <w:p w14:paraId="05B23AB7" w14:textId="77777777" w:rsidR="00A645FD" w:rsidRPr="00635BF9" w:rsidRDefault="00A645FD" w:rsidP="00901834">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Alt0: no additional reporting content</w:t>
                            </w:r>
                          </w:p>
                          <w:p w14:paraId="21832B4A" w14:textId="77777777" w:rsidR="00A645FD" w:rsidRPr="00635BF9" w:rsidRDefault="00A645FD" w:rsidP="00901834">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Alt1: Additional reporting content is included (for example P-MPR + L1-RSRP, virtual PHR + L1-RSRP, L1-RSRP/SINR with and without MPE effect, virtual PHR, P-MPR or virtual PHR + CRI/SSBRI, estimated max UL RSRP) </w:t>
                            </w:r>
                          </w:p>
                          <w:p w14:paraId="40208130" w14:textId="77777777" w:rsidR="00A645FD" w:rsidRPr="00635BF9" w:rsidRDefault="00A645FD" w:rsidP="00901834">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Note: Other options are not precluded</w:t>
                            </w:r>
                          </w:p>
                          <w:p w14:paraId="416C93D3" w14:textId="5BD2F162" w:rsidR="00A645FD" w:rsidRPr="00901834" w:rsidRDefault="00A645FD" w:rsidP="00901834">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the above reporting is triggered by UE or configured by NW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rto="http://schemas.microsoft.com/office/word/2006/arto">
            <w:pict>
              <v:shape w14:anchorId="49702457" id="Text Box 11" o:spid="_x0000_s1039" type="#_x0000_t202" style="width:481.95pt;height:9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" fillcolor="white [3201]" strokeweight=".5pt">
                <v:textbox style="mso-fit-shape-to-text:t">
                  <w:txbxContent>
                    <w:p w14:paraId="0C1773B8" w14:textId="229C92D7" w:rsidR="00A645FD" w:rsidRPr="00635BF9" w:rsidRDefault="00A645FD" w:rsidP="00901834">
                      <w:pPr>
                        <w:shd w:val="clear" w:color="auto" w:fill="FFFFFF"/>
                        <w:spacing w:after="0"/>
                        <w:jc w:val="both"/>
                        <w:rPr>
                          <w:rFonts w:ascii="Times New Roman" w:eastAsia="Batang" w:hAnsi="Times New Roman" w:cs="Times New Roman"/>
                          <w:b/>
                          <w:bCs/>
                          <w:szCs w:val="20"/>
                          <w:lang w:val="en-GB"/>
                        </w:rPr>
                      </w:pPr>
                      <w:r>
                        <w:rPr>
                          <w:rFonts w:ascii="Times New Roman" w:eastAsia="Batang" w:hAnsi="Times New Roman" w:cs="Times New Roman"/>
                          <w:b/>
                          <w:bCs/>
                          <w:szCs w:val="20"/>
                          <w:highlight w:val="green"/>
                          <w:lang w:val="en-GB"/>
                        </w:rPr>
                        <w:t>RAN1#102-e a</w:t>
                      </w:r>
                      <w:r w:rsidRPr="00635BF9">
                        <w:rPr>
                          <w:rFonts w:ascii="Times New Roman" w:eastAsia="Batang" w:hAnsi="Times New Roman" w:cs="Times New Roman"/>
                          <w:b/>
                          <w:bCs/>
                          <w:szCs w:val="20"/>
                          <w:highlight w:val="green"/>
                          <w:lang w:val="en-GB"/>
                        </w:rPr>
                        <w:t>greement</w:t>
                      </w:r>
                    </w:p>
                    <w:p w14:paraId="7ABF199B" w14:textId="77777777" w:rsidR="00A645FD" w:rsidRPr="00635BF9" w:rsidRDefault="00A645FD" w:rsidP="00901834">
                      <w:pPr>
                        <w:snapToGrid w:val="0"/>
                        <w:spacing w:after="0"/>
                        <w:jc w:val="both"/>
                        <w:rPr>
                          <w:rFonts w:ascii="Times New Roman" w:eastAsia="Batang" w:hAnsi="Times New Roman" w:cs="Times New Roman"/>
                          <w:szCs w:val="20"/>
                          <w:lang w:val="en-GB"/>
                        </w:rPr>
                      </w:pPr>
                      <w:r w:rsidRPr="00635BF9">
                        <w:rPr>
                          <w:rFonts w:ascii="Times New Roman" w:eastAsia="Batang" w:hAnsi="Times New Roman" w:cs="Times New Roman"/>
                          <w:szCs w:val="20"/>
                          <w:lang w:val="en-GB"/>
                        </w:rPr>
                        <w:t>On UE reporting for MPE mitigation for Rel-17, investigate and, if needed, specify the following:</w:t>
                      </w:r>
                    </w:p>
                    <w:p w14:paraId="10463F41" w14:textId="77777777" w:rsidR="00A645FD" w:rsidRPr="00635BF9" w:rsidRDefault="00A645FD" w:rsidP="00901834">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Reporting of P-MPR report based on Rel.16 framework.</w:t>
                      </w:r>
                    </w:p>
                    <w:p w14:paraId="71F56279" w14:textId="77777777" w:rsidR="00A645FD" w:rsidRPr="00635BF9" w:rsidRDefault="00A645FD" w:rsidP="00901834">
                      <w:pPr>
                        <w:numPr>
                          <w:ilvl w:val="1"/>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panel/beam level based P-MPR report is supported</w:t>
                      </w:r>
                    </w:p>
                    <w:p w14:paraId="6DCFAF32" w14:textId="77777777" w:rsidR="00A645FD" w:rsidRPr="00635BF9" w:rsidRDefault="00A645FD" w:rsidP="00901834">
                      <w:pPr>
                        <w:numPr>
                          <w:ilvl w:val="1"/>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FFS: Maximum reported number of panels, e.g. single or multiple  </w:t>
                      </w:r>
                    </w:p>
                    <w:p w14:paraId="5380F917" w14:textId="77777777" w:rsidR="00A645FD" w:rsidRPr="00635BF9" w:rsidRDefault="00A645FD" w:rsidP="00901834">
                      <w:pPr>
                        <w:numPr>
                          <w:ilvl w:val="0"/>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Reporting SSBRI(s)/CRI(s) and/or indication of panel selection for the purpose of indicating:</w:t>
                      </w:r>
                    </w:p>
                    <w:p w14:paraId="15E0BECD" w14:textId="77777777" w:rsidR="00A645FD" w:rsidRPr="00635BF9" w:rsidRDefault="00A645FD" w:rsidP="00901834">
                      <w:pPr>
                        <w:numPr>
                          <w:ilvl w:val="1"/>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Alt1: alternative UE panel(s) or TX beam(s) for UL transmission</w:t>
                      </w:r>
                    </w:p>
                    <w:p w14:paraId="6A0470F9" w14:textId="77777777" w:rsidR="00A645FD" w:rsidRPr="00635BF9" w:rsidRDefault="00A645FD" w:rsidP="00901834">
                      <w:pPr>
                        <w:numPr>
                          <w:ilvl w:val="1"/>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Alt2: feasible UE panel(s) or TX beam(s) for UL transmission taking the MPE effect into account</w:t>
                      </w:r>
                    </w:p>
                    <w:p w14:paraId="476EEAA1" w14:textId="77777777" w:rsidR="00A645FD" w:rsidRPr="00635BF9" w:rsidRDefault="00A645FD" w:rsidP="00901834">
                      <w:pPr>
                        <w:numPr>
                          <w:ilvl w:val="1"/>
                          <w:numId w:val="13"/>
                        </w:numPr>
                        <w:snapToGrid w:val="0"/>
                        <w:spacing w:after="0" w:line="240" w:lineRule="auto"/>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indication of panel selection details (e.g. explicit/implicit)</w:t>
                      </w:r>
                    </w:p>
                    <w:p w14:paraId="052C0B18" w14:textId="77777777" w:rsidR="00A645FD" w:rsidRPr="00635BF9" w:rsidRDefault="00A645FD" w:rsidP="00901834">
                      <w:pPr>
                        <w:numPr>
                          <w:ilvl w:val="0"/>
                          <w:numId w:val="13"/>
                        </w:numPr>
                        <w:snapToGrid w:val="0"/>
                        <w:spacing w:after="0" w:line="240" w:lineRule="auto"/>
                        <w:contextualSpacing/>
                        <w:jc w:val="both"/>
                        <w:rPr>
                          <w:rFonts w:ascii="Times New Roman" w:eastAsia="Batang" w:hAnsi="Times New Roman" w:cs="Times New Roman"/>
                          <w:szCs w:val="20"/>
                          <w:lang w:eastAsia="ko-KR"/>
                        </w:rPr>
                      </w:pPr>
                      <w:r w:rsidRPr="00635BF9">
                        <w:rPr>
                          <w:rFonts w:ascii="Times New Roman" w:eastAsia="Batang" w:hAnsi="Times New Roman" w:cs="Times New Roman"/>
                          <w:szCs w:val="20"/>
                          <w:lang w:val="en-GB" w:eastAsia="x-none"/>
                        </w:rPr>
                        <w:t xml:space="preserve">Any additional reporting content: down-select from the following in RAN1#104-e </w:t>
                      </w:r>
                    </w:p>
                    <w:p w14:paraId="05B23AB7" w14:textId="77777777" w:rsidR="00A645FD" w:rsidRPr="00635BF9" w:rsidRDefault="00A645FD" w:rsidP="00901834">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Alt0: no additional reporting content</w:t>
                      </w:r>
                    </w:p>
                    <w:p w14:paraId="21832B4A" w14:textId="77777777" w:rsidR="00A645FD" w:rsidRPr="00635BF9" w:rsidRDefault="00A645FD" w:rsidP="00901834">
                      <w:pPr>
                        <w:numPr>
                          <w:ilvl w:val="1"/>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 xml:space="preserve">Alt1: Additional reporting content is included (for example P-MPR + L1-RSRP, virtual PHR + L1-RSRP, L1-RSRP/SINR with and without MPE effect, virtual PHR, P-MPR or virtual PHR + CRI/SSBRI, estimated max UL RSRP) </w:t>
                      </w:r>
                    </w:p>
                    <w:p w14:paraId="40208130" w14:textId="77777777" w:rsidR="00A645FD" w:rsidRPr="00635BF9" w:rsidRDefault="00A645FD" w:rsidP="00901834">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Note: Other options are not precluded</w:t>
                      </w:r>
                    </w:p>
                    <w:p w14:paraId="416C93D3" w14:textId="5BD2F162" w:rsidR="00A645FD" w:rsidRPr="00901834" w:rsidRDefault="00A645FD" w:rsidP="00901834">
                      <w:pPr>
                        <w:numPr>
                          <w:ilvl w:val="2"/>
                          <w:numId w:val="13"/>
                        </w:numPr>
                        <w:snapToGrid w:val="0"/>
                        <w:spacing w:after="0" w:line="240" w:lineRule="auto"/>
                        <w:contextualSpacing/>
                        <w:jc w:val="both"/>
                        <w:rPr>
                          <w:rFonts w:ascii="Times New Roman" w:eastAsia="Batang" w:hAnsi="Times New Roman" w:cs="Times New Roman"/>
                          <w:szCs w:val="20"/>
                          <w:lang w:val="en-GB" w:eastAsia="x-none"/>
                        </w:rPr>
                      </w:pPr>
                      <w:r w:rsidRPr="00635BF9">
                        <w:rPr>
                          <w:rFonts w:ascii="Times New Roman" w:eastAsia="Batang" w:hAnsi="Times New Roman" w:cs="Times New Roman"/>
                          <w:szCs w:val="20"/>
                          <w:lang w:val="en-GB" w:eastAsia="x-none"/>
                        </w:rPr>
                        <w:t>FFS: Whether the above reporting is triggered by UE or configured by NW</w:t>
                      </w:r>
                    </w:p>
                  </w:txbxContent>
                </v:textbox>
                <w10:anchorlock/>
              </v:shape>
            </w:pict>
          </mc:Fallback>
        </mc:AlternateContent>
      </w:r>
    </w:p>
    <w:p w14:paraId="7EB42800" w14:textId="4F2C2381" w:rsidR="00D65C97" w:rsidRDefault="00D65C97" w:rsidP="00D65C97">
      <w:pPr>
        <w:rPr>
          <w:lang w:val="en-GB" w:eastAsia="ja-JP"/>
        </w:rPr>
      </w:pPr>
      <w:r>
        <w:rPr>
          <w:lang w:val="en-GB" w:eastAsia="ja-JP"/>
        </w:rPr>
        <w:t xml:space="preserve">As mentioned in the agreement, RAN4 has already </w:t>
      </w:r>
      <w:r w:rsidR="00C60880">
        <w:rPr>
          <w:lang w:val="en-GB" w:eastAsia="ja-JP"/>
        </w:rPr>
        <w:t>specified</w:t>
      </w:r>
      <w:r>
        <w:rPr>
          <w:lang w:val="en-GB" w:eastAsia="ja-JP"/>
        </w:rPr>
        <w:t xml:space="preserve"> reporting related to P-MPR. The following is an excerpt from 38.101:</w:t>
      </w:r>
    </w:p>
    <w:p w14:paraId="606F7252" w14:textId="77777777" w:rsidR="00D65C97" w:rsidRPr="008D00A5" w:rsidRDefault="00D65C97" w:rsidP="00D65C97">
      <w:pPr>
        <w:pStyle w:val="TF"/>
        <w:rPr>
          <w:lang w:val="en-GB"/>
        </w:rPr>
      </w:pPr>
      <w:r>
        <w:rPr>
          <w:rFonts w:ascii="Times New Roman" w:hAnsi="Times New Roman" w:cs="Times New Roman"/>
          <w:noProof/>
        </w:rPr>
        <mc:AlternateContent>
          <mc:Choice Requires="wps">
            <w:drawing>
              <wp:inline distT="0" distB="0" distL="0" distR="0" wp14:anchorId="45F7C3D5" wp14:editId="4D20AB21">
                <wp:extent cx="6120765" cy="345889"/>
                <wp:effectExtent l="0" t="0" r="13335" b="24130"/>
                <wp:docPr id="25" name="Text Box 25"/>
                <wp:cNvGraphicFramePr/>
                <a:graphic xmlns:a="http://schemas.openxmlformats.org/drawingml/2006/main">
                  <a:graphicData uri="http://schemas.microsoft.com/office/word/2010/wordprocessingShape">
                    <wps:wsp>
                      <wps:cNvSpPr txBox="1"/>
                      <wps:spPr>
                        <a:xfrm>
                          <a:off x="0" y="0"/>
                          <a:ext cx="6120765" cy="345889"/>
                        </a:xfrm>
                        <a:prstGeom prst="rect">
                          <a:avLst/>
                        </a:prstGeom>
                        <a:solidFill>
                          <a:schemeClr val="lt1"/>
                        </a:solidFill>
                        <a:ln w="6350">
                          <a:solidFill>
                            <a:prstClr val="black"/>
                          </a:solidFill>
                        </a:ln>
                      </wps:spPr>
                      <wps:txbx>
                        <w:txbxContent>
                          <w:p w14:paraId="644E1476" w14:textId="77777777" w:rsidR="00A645FD" w:rsidRPr="000F143B" w:rsidRDefault="00A645FD" w:rsidP="00D65C97">
                            <w:pPr>
                              <w:rPr>
                                <w:rFonts w:ascii="Times New Roman" w:hAnsi="Times New Roman" w:cs="Times New Roman"/>
                              </w:rPr>
                            </w:pPr>
                            <w:r w:rsidRPr="000F143B">
                              <w:t>Excerpt from 38.101, section 6.2.4:</w:t>
                            </w:r>
                          </w:p>
                          <w:p w14:paraId="2273CE82" w14:textId="77777777" w:rsidR="00A645FD" w:rsidRPr="0051461B" w:rsidRDefault="00A645FD" w:rsidP="00D65C97">
                            <w:pPr>
                              <w:pStyle w:val="NW"/>
                              <w:rPr>
                                <w:rFonts w:ascii="Times New Roman" w:hAnsi="Times New Roman" w:cs="Times New Roman"/>
                              </w:rPr>
                            </w:pPr>
                            <w:r w:rsidRPr="0051461B">
                              <w:rPr>
                                <w:rFonts w:ascii="Times New Roman" w:hAnsi="Times New Roman" w:cs="Times New Roman"/>
                              </w:rPr>
                              <w:t>NOTE 1:</w:t>
                            </w:r>
                            <w:r w:rsidRPr="0051461B">
                              <w:rPr>
                                <w:rFonts w:ascii="Times New Roman" w:hAnsi="Times New Roman" w:cs="Times New Roman"/>
                              </w:rPr>
                              <w:tab/>
                              <w:t>P-MPR</w:t>
                            </w:r>
                            <w:r w:rsidRPr="0051461B">
                              <w:rPr>
                                <w:rFonts w:ascii="Times New Roman" w:hAnsi="Times New Roman" w:cs="Times New Roman"/>
                                <w:vertAlign w:val="subscript"/>
                              </w:rPr>
                              <w:t>f,c</w:t>
                            </w:r>
                            <w:r w:rsidRPr="0051461B">
                              <w:rPr>
                                <w:rFonts w:ascii="Times New Roman" w:hAnsi="Times New Roman" w:cs="Times New Roman"/>
                              </w:rPr>
                              <w:t xml:space="preserve">  was introduced in the P</w:t>
                            </w:r>
                            <w:r w:rsidRPr="0051461B">
                              <w:rPr>
                                <w:rFonts w:ascii="Times New Roman" w:hAnsi="Times New Roman" w:cs="Times New Roman"/>
                                <w:vertAlign w:val="subscript"/>
                              </w:rPr>
                              <w:t>CMAX,f,c</w:t>
                            </w:r>
                            <w:r w:rsidRPr="0051461B">
                              <w:rPr>
                                <w:rFonts w:ascii="Times New Roman" w:hAnsi="Times New Roman" w:cs="Times New Roman"/>
                              </w:rPr>
                              <w:t xml:space="preserve"> equation such that the UE can report to the gNB the available maximum output transmit power. This information can be used by the gNB for scheduling decisions.</w:t>
                            </w:r>
                          </w:p>
                          <w:p w14:paraId="4FC60A52" w14:textId="77777777" w:rsidR="00A645FD" w:rsidRPr="0051461B" w:rsidRDefault="00A645FD" w:rsidP="00D65C97">
                            <w:pPr>
                              <w:keepLines/>
                              <w:spacing w:after="0"/>
                              <w:ind w:left="1135" w:hanging="851"/>
                              <w:rPr>
                                <w:rFonts w:ascii="Times New Roman" w:hAnsi="Times New Roman" w:cs="Times New Roman"/>
                              </w:rPr>
                            </w:pPr>
                            <w:r w:rsidRPr="0051461B">
                              <w:rPr>
                                <w:rFonts w:ascii="Times New Roman" w:hAnsi="Times New Roman" w:cs="Times New Roman"/>
                              </w:rPr>
                              <w:t>NOTE 2:</w:t>
                            </w:r>
                            <w:r w:rsidRPr="0051461B">
                              <w:rPr>
                                <w:rFonts w:ascii="Times New Roman" w:hAnsi="Times New Roman" w:cs="Times New Roman"/>
                              </w:rPr>
                              <w:tab/>
                              <w:t>P-MPR</w:t>
                            </w:r>
                            <w:r w:rsidRPr="0051461B">
                              <w:rPr>
                                <w:rFonts w:ascii="Times New Roman" w:hAnsi="Times New Roman" w:cs="Times New Roman"/>
                                <w:vertAlign w:val="subscript"/>
                              </w:rPr>
                              <w:t>f,c</w:t>
                            </w:r>
                            <w:r w:rsidRPr="0051461B">
                              <w:rPr>
                                <w:rFonts w:ascii="Times New Roman" w:hAnsi="Times New Roman" w:cs="Times New Roman"/>
                              </w:rPr>
                              <w:t xml:space="preserve"> and </w:t>
                            </w:r>
                            <w:r w:rsidRPr="0051461B">
                              <w:rPr>
                                <w:rFonts w:ascii="Times New Roman" w:hAnsi="Times New Roman" w:cs="Times New Roman"/>
                                <w:i/>
                              </w:rPr>
                              <w:t>maxUplinkDutyCycle-FR2</w:t>
                            </w:r>
                            <w:r w:rsidRPr="0051461B">
                              <w:rPr>
                                <w:rFonts w:ascii="Times New Roman" w:hAnsi="Times New Roman" w:cs="Times New Roman"/>
                              </w:rPr>
                              <w:t xml:space="preserve"> may impact the maximum uplink performance for the selected UL transmission path. </w:t>
                            </w:r>
                          </w:p>
                          <w:p w14:paraId="7B86D55C" w14:textId="77777777" w:rsidR="00A645FD" w:rsidRPr="0051461B" w:rsidRDefault="00A645FD" w:rsidP="00D65C97">
                            <w:pPr>
                              <w:pStyle w:val="NW"/>
                              <w:rPr>
                                <w:rFonts w:ascii="Times New Roman" w:hAnsi="Times New Roman" w:cs="Times New Roman"/>
                              </w:rPr>
                            </w:pPr>
                            <w:r w:rsidRPr="0051461B">
                              <w:rPr>
                                <w:rFonts w:ascii="Times New Roman" w:hAnsi="Times New Roman" w:cs="Times New Roman"/>
                              </w:rPr>
                              <w:t>NOTE 3:</w:t>
                            </w:r>
                            <w:r w:rsidRPr="0051461B">
                              <w:rPr>
                                <w:rFonts w:ascii="Times New Roman" w:hAnsi="Times New Roman" w:cs="Times New Roman"/>
                              </w:rPr>
                              <w:tab/>
                              <w:t xml:space="preserve">MPE P-MPR Reporting, as defined in TS 38.306 [14], is an </w:t>
                            </w:r>
                            <w:r w:rsidRPr="0051461B">
                              <w:rPr>
                                <w:rFonts w:ascii="Times New Roman" w:hAnsi="Times New Roman" w:cs="Times New Roman"/>
                                <w:highlight w:val="yellow"/>
                              </w:rPr>
                              <w:t>optional UE capability to report P-MPR</w:t>
                            </w:r>
                            <w:r w:rsidRPr="0051461B">
                              <w:rPr>
                                <w:rFonts w:ascii="Times New Roman" w:hAnsi="Times New Roman" w:cs="Times New Roman"/>
                                <w:highlight w:val="yellow"/>
                                <w:vertAlign w:val="subscript"/>
                              </w:rPr>
                              <w:t>f,c</w:t>
                            </w:r>
                            <w:r w:rsidRPr="0051461B">
                              <w:rPr>
                                <w:rFonts w:ascii="Times New Roman" w:hAnsi="Times New Roman" w:cs="Times New Roman"/>
                                <w:highlight w:val="yellow"/>
                              </w:rPr>
                              <w:t xml:space="preserve"> when the reporting conditions configured by gNB are met.</w:t>
                            </w:r>
                            <w:r w:rsidRPr="0051461B">
                              <w:rPr>
                                <w:rFonts w:ascii="Times New Roman" w:hAnsi="Times New Roman" w:cs="Times New Roman"/>
                              </w:rPr>
                              <w:t xml:space="preserve"> This UE capability is applicable to all FR2 power classes.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rto="http://schemas.microsoft.com/office/word/2006/arto">
            <w:pict>
              <v:shape w14:anchorId="45F7C3D5" id="Text Box 25" o:spid="_x0000_s1040" type="#_x0000_t202" style="width:481.95pt;height:2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" fillcolor="white [3201]" strokeweight=".5pt">
                <v:textbox style="mso-fit-shape-to-text:t">
                  <w:txbxContent>
                    <w:p w14:paraId="644E1476" w14:textId="77777777" w:rsidR="00A645FD" w:rsidRPr="000F143B" w:rsidRDefault="00A645FD" w:rsidP="00D65C97">
                      <w:pPr>
                        <w:rPr>
                          <w:rFonts w:ascii="Times New Roman" w:hAnsi="Times New Roman" w:cs="Times New Roman"/>
                        </w:rPr>
                      </w:pPr>
                      <w:r w:rsidRPr="000F143B">
                        <w:t>Excerpt from 38.101, section 6.2.4:</w:t>
                      </w:r>
                    </w:p>
                    <w:p w14:paraId="2273CE82" w14:textId="77777777" w:rsidR="00A645FD" w:rsidRPr="0051461B" w:rsidRDefault="00A645FD" w:rsidP="00D65C97">
                      <w:pPr>
                        <w:pStyle w:val="NW"/>
                        <w:rPr>
                          <w:rFonts w:ascii="Times New Roman" w:hAnsi="Times New Roman" w:cs="Times New Roman"/>
                        </w:rPr>
                      </w:pPr>
                      <w:r w:rsidRPr="0051461B">
                        <w:rPr>
                          <w:rFonts w:ascii="Times New Roman" w:hAnsi="Times New Roman" w:cs="Times New Roman"/>
                        </w:rPr>
                        <w:t>NOTE 1:</w:t>
                      </w:r>
                      <w:r w:rsidRPr="0051461B">
                        <w:rPr>
                          <w:rFonts w:ascii="Times New Roman" w:hAnsi="Times New Roman" w:cs="Times New Roman"/>
                        </w:rPr>
                        <w:tab/>
                        <w:t>P-MPR</w:t>
                      </w:r>
                      <w:r w:rsidRPr="0051461B">
                        <w:rPr>
                          <w:rFonts w:ascii="Times New Roman" w:hAnsi="Times New Roman" w:cs="Times New Roman"/>
                          <w:vertAlign w:val="subscript"/>
                        </w:rPr>
                        <w:t>f,c</w:t>
                      </w:r>
                      <w:r w:rsidRPr="0051461B">
                        <w:rPr>
                          <w:rFonts w:ascii="Times New Roman" w:hAnsi="Times New Roman" w:cs="Times New Roman"/>
                        </w:rPr>
                        <w:t xml:space="preserve">  was introduced in the P</w:t>
                      </w:r>
                      <w:r w:rsidRPr="0051461B">
                        <w:rPr>
                          <w:rFonts w:ascii="Times New Roman" w:hAnsi="Times New Roman" w:cs="Times New Roman"/>
                          <w:vertAlign w:val="subscript"/>
                        </w:rPr>
                        <w:t>CMAX,f,c</w:t>
                      </w:r>
                      <w:r w:rsidRPr="0051461B">
                        <w:rPr>
                          <w:rFonts w:ascii="Times New Roman" w:hAnsi="Times New Roman" w:cs="Times New Roman"/>
                        </w:rPr>
                        <w:t xml:space="preserve"> equation such that the UE can report to the gNB the available maximum output transmit power. This information can be used by the gNB for scheduling decisions.</w:t>
                      </w:r>
                    </w:p>
                    <w:p w14:paraId="4FC60A52" w14:textId="77777777" w:rsidR="00A645FD" w:rsidRPr="0051461B" w:rsidRDefault="00A645FD" w:rsidP="00D65C97">
                      <w:pPr>
                        <w:keepLines/>
                        <w:spacing w:after="0"/>
                        <w:ind w:left="1135" w:hanging="851"/>
                        <w:rPr>
                          <w:rFonts w:ascii="Times New Roman" w:hAnsi="Times New Roman" w:cs="Times New Roman"/>
                        </w:rPr>
                      </w:pPr>
                      <w:r w:rsidRPr="0051461B">
                        <w:rPr>
                          <w:rFonts w:ascii="Times New Roman" w:hAnsi="Times New Roman" w:cs="Times New Roman"/>
                        </w:rPr>
                        <w:t>NOTE 2:</w:t>
                      </w:r>
                      <w:r w:rsidRPr="0051461B">
                        <w:rPr>
                          <w:rFonts w:ascii="Times New Roman" w:hAnsi="Times New Roman" w:cs="Times New Roman"/>
                        </w:rPr>
                        <w:tab/>
                        <w:t>P-MPR</w:t>
                      </w:r>
                      <w:r w:rsidRPr="0051461B">
                        <w:rPr>
                          <w:rFonts w:ascii="Times New Roman" w:hAnsi="Times New Roman" w:cs="Times New Roman"/>
                          <w:vertAlign w:val="subscript"/>
                        </w:rPr>
                        <w:t>f,c</w:t>
                      </w:r>
                      <w:r w:rsidRPr="0051461B">
                        <w:rPr>
                          <w:rFonts w:ascii="Times New Roman" w:hAnsi="Times New Roman" w:cs="Times New Roman"/>
                        </w:rPr>
                        <w:t xml:space="preserve"> and </w:t>
                      </w:r>
                      <w:r w:rsidRPr="0051461B">
                        <w:rPr>
                          <w:rFonts w:ascii="Times New Roman" w:hAnsi="Times New Roman" w:cs="Times New Roman"/>
                          <w:i/>
                        </w:rPr>
                        <w:t>maxUplinkDutyCycle-FR2</w:t>
                      </w:r>
                      <w:r w:rsidRPr="0051461B">
                        <w:rPr>
                          <w:rFonts w:ascii="Times New Roman" w:hAnsi="Times New Roman" w:cs="Times New Roman"/>
                        </w:rPr>
                        <w:t xml:space="preserve"> may impact the maximum uplink performance for the selected UL transmission path. </w:t>
                      </w:r>
                    </w:p>
                    <w:p w14:paraId="7B86D55C" w14:textId="77777777" w:rsidR="00A645FD" w:rsidRPr="0051461B" w:rsidRDefault="00A645FD" w:rsidP="00D65C97">
                      <w:pPr>
                        <w:pStyle w:val="NW"/>
                        <w:rPr>
                          <w:rFonts w:ascii="Times New Roman" w:hAnsi="Times New Roman" w:cs="Times New Roman"/>
                        </w:rPr>
                      </w:pPr>
                      <w:r w:rsidRPr="0051461B">
                        <w:rPr>
                          <w:rFonts w:ascii="Times New Roman" w:hAnsi="Times New Roman" w:cs="Times New Roman"/>
                        </w:rPr>
                        <w:t>NOTE 3:</w:t>
                      </w:r>
                      <w:r w:rsidRPr="0051461B">
                        <w:rPr>
                          <w:rFonts w:ascii="Times New Roman" w:hAnsi="Times New Roman" w:cs="Times New Roman"/>
                        </w:rPr>
                        <w:tab/>
                        <w:t xml:space="preserve">MPE P-MPR Reporting, as defined in TS 38.306 [14], is an </w:t>
                      </w:r>
                      <w:r w:rsidRPr="0051461B">
                        <w:rPr>
                          <w:rFonts w:ascii="Times New Roman" w:hAnsi="Times New Roman" w:cs="Times New Roman"/>
                          <w:highlight w:val="yellow"/>
                        </w:rPr>
                        <w:t>optional UE capability to report P-MPR</w:t>
                      </w:r>
                      <w:r w:rsidRPr="0051461B">
                        <w:rPr>
                          <w:rFonts w:ascii="Times New Roman" w:hAnsi="Times New Roman" w:cs="Times New Roman"/>
                          <w:highlight w:val="yellow"/>
                          <w:vertAlign w:val="subscript"/>
                        </w:rPr>
                        <w:t>f,c</w:t>
                      </w:r>
                      <w:r w:rsidRPr="0051461B">
                        <w:rPr>
                          <w:rFonts w:ascii="Times New Roman" w:hAnsi="Times New Roman" w:cs="Times New Roman"/>
                          <w:highlight w:val="yellow"/>
                        </w:rPr>
                        <w:t xml:space="preserve"> when the reporting conditions configured by gNB are met.</w:t>
                      </w:r>
                      <w:r w:rsidRPr="0051461B">
                        <w:rPr>
                          <w:rFonts w:ascii="Times New Roman" w:hAnsi="Times New Roman" w:cs="Times New Roman"/>
                        </w:rPr>
                        <w:t xml:space="preserve"> This UE capability is applicable to all FR2 power classes.</w:t>
                      </w:r>
                    </w:p>
                  </w:txbxContent>
                </v:textbox>
                <w10:anchorlock/>
              </v:shape>
            </w:pict>
          </mc:Fallback>
        </mc:AlternateContent>
      </w:r>
    </w:p>
    <w:p w14:paraId="2233D269" w14:textId="77777777" w:rsidR="00293181" w:rsidRDefault="00D65C97" w:rsidP="00D65C97">
      <w:pPr>
        <w:rPr>
          <w:lang w:val="en-GB" w:eastAsia="ja-JP"/>
        </w:rPr>
      </w:pPr>
      <w:r w:rsidRPr="00646E4F">
        <w:rPr>
          <w:rFonts w:cs="Arial"/>
        </w:rPr>
        <w:t>P-MPR</w:t>
      </w:r>
      <w:r w:rsidRPr="00646E4F">
        <w:rPr>
          <w:rFonts w:cs="Arial"/>
          <w:vertAlign w:val="subscript"/>
        </w:rPr>
        <w:t>f,c</w:t>
      </w:r>
      <w:r w:rsidRPr="0051461B">
        <w:rPr>
          <w:rFonts w:ascii="Times New Roman" w:hAnsi="Times New Roman" w:cs="Times New Roman"/>
        </w:rPr>
        <w:t xml:space="preserve">  </w:t>
      </w:r>
      <w:r>
        <w:rPr>
          <w:lang w:val="en-GB" w:eastAsia="ja-JP"/>
        </w:rPr>
        <w:t xml:space="preserve">is the power reduction the UE may need to perform to comply with regulatory restrictions, i.e., MPE. Note the highlighted text: RAN4 has already decided that this should be reported, and that the reporting conditions are configured by the NW. </w:t>
      </w:r>
      <w:r w:rsidR="006B5F2D">
        <w:rPr>
          <w:lang w:val="en-GB" w:eastAsia="ja-JP"/>
        </w:rPr>
        <w:t>The corresponding signalling has been specified by RAN2</w:t>
      </w:r>
      <w:r w:rsidR="00293181">
        <w:rPr>
          <w:lang w:val="en-GB" w:eastAsia="ja-JP"/>
        </w:rPr>
        <w:t xml:space="preserve"> as part of the PHR reporting: hence, the power reduction resulting from MPE is reported using MAC CE, as highlighted in the below excerpt from 38.321:</w:t>
      </w:r>
    </w:p>
    <w:p w14:paraId="6B7CD056" w14:textId="763F810B" w:rsidR="006B5F2D" w:rsidRDefault="00293181" w:rsidP="00F654EF">
      <w:pPr>
        <w:pStyle w:val="TF"/>
        <w:rPr>
          <w:lang w:val="en-GB"/>
        </w:rPr>
      </w:pPr>
      <w:r>
        <w:rPr>
          <w:rFonts w:ascii="Times New Roman" w:hAnsi="Times New Roman" w:cs="Times New Roman"/>
          <w:noProof/>
        </w:rPr>
        <mc:AlternateContent>
          <mc:Choice Requires="wps">
            <w:drawing>
              <wp:inline distT="0" distB="0" distL="0" distR="0" wp14:anchorId="7F309D52" wp14:editId="55F54762">
                <wp:extent cx="6120765" cy="1723293"/>
                <wp:effectExtent l="0" t="0" r="13335" b="10795"/>
                <wp:docPr id="20" name="Text Box 20"/>
                <wp:cNvGraphicFramePr/>
                <a:graphic xmlns:a="http://schemas.openxmlformats.org/drawingml/2006/main">
                  <a:graphicData uri="http://schemas.microsoft.com/office/word/2010/wordprocessingShape">
                    <wps:wsp>
                      <wps:cNvSpPr txBox="1"/>
                      <wps:spPr>
                        <a:xfrm>
                          <a:off x="0" y="0"/>
                          <a:ext cx="6120765" cy="1723293"/>
                        </a:xfrm>
                        <a:prstGeom prst="rect">
                          <a:avLst/>
                        </a:prstGeom>
                        <a:solidFill>
                          <a:schemeClr val="lt1"/>
                        </a:solidFill>
                        <a:ln w="6350">
                          <a:solidFill>
                            <a:prstClr val="black"/>
                          </a:solidFill>
                        </a:ln>
                      </wps:spPr>
                      <wps:txbx>
                        <w:txbxContent>
                          <w:p w14:paraId="11BA3337" w14:textId="1BC59951" w:rsidR="00A645FD" w:rsidRPr="000F143B" w:rsidRDefault="00A645FD" w:rsidP="00293181">
                            <w:pPr>
                              <w:rPr>
                                <w:rFonts w:ascii="Times New Roman" w:hAnsi="Times New Roman" w:cs="Times New Roman"/>
                              </w:rPr>
                            </w:pPr>
                            <w:r w:rsidRPr="000F143B">
                              <w:t>Excerpt from 38.</w:t>
                            </w:r>
                            <w:r>
                              <w:t>321</w:t>
                            </w:r>
                            <w:r w:rsidRPr="000F143B">
                              <w:t xml:space="preserve">, section </w:t>
                            </w:r>
                            <w:r w:rsidRPr="00293181">
                              <w:t>6.1.3.8</w:t>
                            </w:r>
                            <w:r w:rsidRPr="000F143B">
                              <w:t>:</w:t>
                            </w:r>
                          </w:p>
                          <w:p w14:paraId="09F0F29D" w14:textId="77777777" w:rsidR="00A645FD" w:rsidRPr="003C0705" w:rsidRDefault="006619DC" w:rsidP="00293181">
                            <w:pPr>
                              <w:pStyle w:val="TH"/>
                              <w:rPr>
                                <w:lang w:eastAsia="ko-KR"/>
                              </w:rPr>
                            </w:pPr>
                            <w:r w:rsidRPr="003C0705">
                              <w:object w:dxaOrig="5385" w:dyaOrig="1870" w14:anchorId="2D755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75pt;height:79.5pt">
                                  <v:imagedata r:id="rId17" o:title=""/>
                                </v:shape>
                                <o:OLEObject Type="Embed" ProgID="Visio.Drawing.15" ShapeID="_x0000_i1025" DrawAspect="Content" ObjectID="_1672470223" r:id="rId18"/>
                              </w:object>
                            </w:r>
                          </w:p>
                          <w:p w14:paraId="7B98379D" w14:textId="77777777" w:rsidR="00A645FD" w:rsidRPr="003C0705" w:rsidRDefault="00A645FD" w:rsidP="00293181">
                            <w:pPr>
                              <w:pStyle w:val="TF"/>
                              <w:rPr>
                                <w:noProof/>
                                <w:lang w:eastAsia="ko-KR"/>
                              </w:rPr>
                            </w:pPr>
                            <w:r w:rsidRPr="003C0705">
                              <w:rPr>
                                <w:noProof/>
                                <w:lang w:eastAsia="ko-KR"/>
                              </w:rPr>
                              <w:t>Figure 6.1.3.8-1: Single Entry PHR MAC CE</w:t>
                            </w:r>
                          </w:p>
                          <w:p w14:paraId="76A0908A" w14:textId="77777777" w:rsidR="00A645FD" w:rsidRDefault="00A645F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F309D52" id="Text Box 20" o:spid="_x0000_s1041" type="#_x0000_t202" style="width:481.95pt;height:13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" fillcolor="white [3201]" strokeweight=".5pt">
                <v:textbox>
                  <w:txbxContent>
                    <w:p w14:paraId="11BA3337" w14:textId="1BC59951" w:rsidR="00A645FD" w:rsidRPr="000F143B" w:rsidRDefault="00A645FD" w:rsidP="00293181">
                      <w:pPr>
                        <w:rPr>
                          <w:rFonts w:ascii="Times New Roman" w:hAnsi="Times New Roman" w:cs="Times New Roman"/>
                        </w:rPr>
                      </w:pPr>
                      <w:r w:rsidRPr="000F143B">
                        <w:t>Excerpt from 38.</w:t>
                      </w:r>
                      <w:r>
                        <w:t>321</w:t>
                      </w:r>
                      <w:r w:rsidRPr="000F143B">
                        <w:t xml:space="preserve">, section </w:t>
                      </w:r>
                      <w:r w:rsidRPr="00293181">
                        <w:t>6.1.3.8</w:t>
                      </w:r>
                      <w:r w:rsidRPr="000F143B">
                        <w:t>:</w:t>
                      </w:r>
                    </w:p>
                    <w:p w14:paraId="09F0F29D" w14:textId="77777777" w:rsidR="00A645FD" w:rsidRPr="003C0705" w:rsidRDefault="006619DC" w:rsidP="00293181">
                      <w:pPr>
                        <w:pStyle w:val="TH"/>
                        <w:rPr>
                          <w:lang w:eastAsia="ko-KR"/>
                        </w:rPr>
                      </w:pPr>
                      <w:r w:rsidRPr="003C0705">
                        <w:object w:dxaOrig="5385" w:dyaOrig="1870" w14:anchorId="2D755956">
                          <v:shape id="_x0000_i1025" type="#_x0000_t75" style="width:228.75pt;height:79.5pt">
                            <v:imagedata r:id="rId17" o:title=""/>
                          </v:shape>
                          <o:OLEObject Type="Embed" ProgID="Visio.Drawing.15" ShapeID="_x0000_i1025" DrawAspect="Content" ObjectID="_1672470223" r:id="rId19"/>
                        </w:object>
                      </w:r>
                    </w:p>
                    <w:p w14:paraId="7B98379D" w14:textId="77777777" w:rsidR="00A645FD" w:rsidRPr="003C0705" w:rsidRDefault="00A645FD" w:rsidP="00293181">
                      <w:pPr>
                        <w:pStyle w:val="TF"/>
                        <w:rPr>
                          <w:noProof/>
                          <w:lang w:eastAsia="ko-KR"/>
                        </w:rPr>
                      </w:pPr>
                      <w:r w:rsidRPr="003C0705">
                        <w:rPr>
                          <w:noProof/>
                          <w:lang w:eastAsia="ko-KR"/>
                        </w:rPr>
                        <w:t>Figure 6.1.3.8-1: Single Entry PHR MAC CE</w:t>
                      </w:r>
                    </w:p>
                    <w:p w14:paraId="76A0908A" w14:textId="77777777" w:rsidR="00A645FD" w:rsidRDefault="00A645FD"/>
                  </w:txbxContent>
                </v:textbox>
                <w10:anchorlock/>
              </v:shape>
            </w:pict>
          </mc:Fallback>
        </mc:AlternateContent>
      </w:r>
    </w:p>
    <w:p w14:paraId="2E81AA67" w14:textId="57486B8F" w:rsidR="00D65C97" w:rsidRDefault="00293181" w:rsidP="00D65C97">
      <w:pPr>
        <w:rPr>
          <w:lang w:val="en-GB" w:eastAsia="ja-JP"/>
        </w:rPr>
      </w:pPr>
      <w:r>
        <w:rPr>
          <w:lang w:val="en-GB" w:eastAsia="ja-JP"/>
        </w:rPr>
        <w:t xml:space="preserve">RAN4 agreed that this type of reporting was appropriate to notify the NW that the UE </w:t>
      </w:r>
      <w:r w:rsidR="004236E1">
        <w:rPr>
          <w:lang w:val="en-GB" w:eastAsia="ja-JP"/>
        </w:rPr>
        <w:t>must</w:t>
      </w:r>
      <w:r>
        <w:rPr>
          <w:lang w:val="en-GB" w:eastAsia="ja-JP"/>
        </w:rPr>
        <w:t xml:space="preserve"> reduce its Tx power due to MPE:</w:t>
      </w:r>
    </w:p>
    <w:p w14:paraId="3F72F980" w14:textId="26E621C2" w:rsidR="00D65C97" w:rsidRDefault="00D65C97" w:rsidP="00D65C97">
      <w:pPr>
        <w:pStyle w:val="Observation"/>
        <w:rPr>
          <w:lang w:val="en-GB"/>
        </w:rPr>
      </w:pPr>
      <w:bookmarkStart w:id="58" w:name="_Toc61889347"/>
      <w:r>
        <w:rPr>
          <w:lang w:val="en-GB"/>
        </w:rPr>
        <w:t xml:space="preserve">RAN4 </w:t>
      </w:r>
      <w:r w:rsidR="00293181">
        <w:rPr>
          <w:lang w:val="en-GB"/>
        </w:rPr>
        <w:t xml:space="preserve">and RAN2 </w:t>
      </w:r>
      <w:r>
        <w:rPr>
          <w:lang w:val="en-GB"/>
        </w:rPr>
        <w:t>ha</w:t>
      </w:r>
      <w:r w:rsidR="00293181">
        <w:rPr>
          <w:lang w:val="en-GB"/>
        </w:rPr>
        <w:t>ve</w:t>
      </w:r>
      <w:r>
        <w:rPr>
          <w:lang w:val="en-GB"/>
        </w:rPr>
        <w:t xml:space="preserve"> already</w:t>
      </w:r>
      <w:r w:rsidR="00293181">
        <w:rPr>
          <w:lang w:val="en-GB"/>
        </w:rPr>
        <w:t xml:space="preserve"> specified a solution to report an MPE event</w:t>
      </w:r>
      <w:r>
        <w:rPr>
          <w:lang w:val="en-GB"/>
        </w:rPr>
        <w:t>.</w:t>
      </w:r>
      <w:bookmarkEnd w:id="58"/>
    </w:p>
    <w:p w14:paraId="59E46185" w14:textId="77777777" w:rsidR="00293181" w:rsidRDefault="00293181" w:rsidP="00D65C97">
      <w:pPr>
        <w:rPr>
          <w:lang w:val="en-GB"/>
        </w:rPr>
      </w:pPr>
      <w:r>
        <w:rPr>
          <w:lang w:val="en-GB"/>
        </w:rPr>
        <w:t>We do not see any reason to specify another reporting solution:</w:t>
      </w:r>
    </w:p>
    <w:p w14:paraId="42918953" w14:textId="5296DDB9" w:rsidR="00D65C97" w:rsidRPr="00293181" w:rsidRDefault="00293181" w:rsidP="00D65C97">
      <w:pPr>
        <w:pStyle w:val="Proposal"/>
        <w:rPr>
          <w:lang w:val="en-GB"/>
        </w:rPr>
      </w:pPr>
      <w:bookmarkStart w:id="59" w:name="_Toc61889381"/>
      <w:r>
        <w:rPr>
          <w:lang w:val="en-GB"/>
        </w:rPr>
        <w:t>Do not specify an additional solution to report an MPE event.</w:t>
      </w:r>
      <w:bookmarkEnd w:id="59"/>
      <w:r>
        <w:rPr>
          <w:lang w:val="en-GB"/>
        </w:rPr>
        <w:t xml:space="preserve"> </w:t>
      </w:r>
    </w:p>
    <w:p w14:paraId="2943AAF8" w14:textId="48A3FA39" w:rsidR="00557415" w:rsidRDefault="00D65C97" w:rsidP="00D65C97">
      <w:pPr>
        <w:pStyle w:val="Heading4"/>
      </w:pPr>
      <w:r>
        <w:t>2.4.3.1</w:t>
      </w:r>
      <w:r>
        <w:tab/>
        <w:t>Additional reporting for MPE mitigation</w:t>
      </w:r>
    </w:p>
    <w:p w14:paraId="1B3C3CAE" w14:textId="62499186" w:rsidR="00443BC7" w:rsidRDefault="009335C4" w:rsidP="00A77734">
      <w:pPr>
        <w:rPr>
          <w:lang w:val="en-GB" w:eastAsia="ja-JP"/>
        </w:rPr>
      </w:pPr>
      <w:r>
        <w:rPr>
          <w:lang w:val="en-GB" w:eastAsia="ja-JP"/>
        </w:rPr>
        <w:t>The P-MPR report discusse</w:t>
      </w:r>
      <w:r w:rsidR="008F59B7">
        <w:rPr>
          <w:lang w:val="en-GB" w:eastAsia="ja-JP"/>
        </w:rPr>
        <w:t>d</w:t>
      </w:r>
      <w:r>
        <w:rPr>
          <w:lang w:val="en-GB" w:eastAsia="ja-JP"/>
        </w:rPr>
        <w:t xml:space="preserve"> in previous chapter will be useful to inform the gNB </w:t>
      </w:r>
      <w:r w:rsidR="002D3A38">
        <w:rPr>
          <w:lang w:val="en-GB" w:eastAsia="ja-JP"/>
        </w:rPr>
        <w:t xml:space="preserve">whether </w:t>
      </w:r>
      <w:r>
        <w:rPr>
          <w:lang w:val="en-GB" w:eastAsia="ja-JP"/>
        </w:rPr>
        <w:t>a</w:t>
      </w:r>
      <w:r w:rsidR="002D3A38">
        <w:rPr>
          <w:lang w:val="en-GB" w:eastAsia="ja-JP"/>
        </w:rPr>
        <w:t>n</w:t>
      </w:r>
      <w:r>
        <w:rPr>
          <w:lang w:val="en-GB" w:eastAsia="ja-JP"/>
        </w:rPr>
        <w:t xml:space="preserve"> MPE issue has occurred </w:t>
      </w:r>
      <w:r w:rsidR="002D3A38">
        <w:rPr>
          <w:lang w:val="en-GB" w:eastAsia="ja-JP"/>
        </w:rPr>
        <w:t>on</w:t>
      </w:r>
      <w:r>
        <w:rPr>
          <w:lang w:val="en-GB" w:eastAsia="ja-JP"/>
        </w:rPr>
        <w:t xml:space="preserve"> </w:t>
      </w:r>
      <w:r w:rsidR="002D3A38">
        <w:rPr>
          <w:lang w:val="en-GB" w:eastAsia="ja-JP"/>
        </w:rPr>
        <w:t xml:space="preserve">a </w:t>
      </w:r>
      <w:r>
        <w:rPr>
          <w:lang w:val="en-GB" w:eastAsia="ja-JP"/>
        </w:rPr>
        <w:t>currently active beam pair link</w:t>
      </w:r>
      <w:r w:rsidR="002D3A38">
        <w:rPr>
          <w:lang w:val="en-GB" w:eastAsia="ja-JP"/>
        </w:rPr>
        <w:t xml:space="preserve"> or not</w:t>
      </w:r>
      <w:r>
        <w:rPr>
          <w:lang w:val="en-GB" w:eastAsia="ja-JP"/>
        </w:rPr>
        <w:t xml:space="preserve">. </w:t>
      </w:r>
      <w:r w:rsidR="00443BC7">
        <w:rPr>
          <w:lang w:val="en-GB" w:eastAsia="ja-JP"/>
        </w:rPr>
        <w:t xml:space="preserve">With this knowledge, the NW </w:t>
      </w:r>
      <w:r w:rsidR="004236E1">
        <w:rPr>
          <w:lang w:val="en-GB" w:eastAsia="ja-JP"/>
        </w:rPr>
        <w:t>would want to</w:t>
      </w:r>
      <w:r w:rsidR="00443BC7">
        <w:rPr>
          <w:lang w:val="en-GB" w:eastAsia="ja-JP"/>
        </w:rPr>
        <w:t xml:space="preserve"> start performing beam management that take</w:t>
      </w:r>
      <w:r w:rsidR="004236E1">
        <w:rPr>
          <w:lang w:val="en-GB" w:eastAsia="ja-JP"/>
        </w:rPr>
        <w:t>s</w:t>
      </w:r>
      <w:r w:rsidR="00443BC7">
        <w:rPr>
          <w:lang w:val="en-GB" w:eastAsia="ja-JP"/>
        </w:rPr>
        <w:t xml:space="preserve"> the Tx power restrictions into account. T</w:t>
      </w:r>
      <w:r>
        <w:rPr>
          <w:lang w:val="en-GB" w:eastAsia="ja-JP"/>
        </w:rPr>
        <w:t xml:space="preserve">he P-MPR report </w:t>
      </w:r>
      <w:r w:rsidR="00443BC7">
        <w:rPr>
          <w:lang w:val="en-GB" w:eastAsia="ja-JP"/>
        </w:rPr>
        <w:t xml:space="preserve">itself </w:t>
      </w:r>
      <w:r>
        <w:rPr>
          <w:lang w:val="en-GB" w:eastAsia="ja-JP"/>
        </w:rPr>
        <w:t xml:space="preserve">does not give </w:t>
      </w:r>
      <w:r w:rsidR="008F59B7">
        <w:rPr>
          <w:lang w:val="en-GB" w:eastAsia="ja-JP"/>
        </w:rPr>
        <w:t xml:space="preserve">any </w:t>
      </w:r>
      <w:r>
        <w:rPr>
          <w:lang w:val="en-GB" w:eastAsia="ja-JP"/>
        </w:rPr>
        <w:t xml:space="preserve">information to the gNB about a </w:t>
      </w:r>
      <w:r w:rsidR="008F59B7">
        <w:rPr>
          <w:lang w:val="en-GB" w:eastAsia="ja-JP"/>
        </w:rPr>
        <w:t xml:space="preserve">possible </w:t>
      </w:r>
      <w:r>
        <w:rPr>
          <w:lang w:val="en-GB" w:eastAsia="ja-JP"/>
        </w:rPr>
        <w:t>new candidate beam pair link</w:t>
      </w:r>
      <w:r w:rsidR="002D3A38">
        <w:rPr>
          <w:lang w:val="en-GB" w:eastAsia="ja-JP"/>
        </w:rPr>
        <w:t xml:space="preserve"> </w:t>
      </w:r>
      <w:r w:rsidR="008F59B7">
        <w:rPr>
          <w:lang w:val="en-GB" w:eastAsia="ja-JP"/>
        </w:rPr>
        <w:t>more suited for UL</w:t>
      </w:r>
      <w:r w:rsidR="00443BC7">
        <w:rPr>
          <w:lang w:val="en-GB" w:eastAsia="ja-JP"/>
        </w:rPr>
        <w:t xml:space="preserve"> transmission</w:t>
      </w:r>
      <w:r w:rsidR="004236E1">
        <w:rPr>
          <w:lang w:val="en-GB" w:eastAsia="ja-JP"/>
        </w:rPr>
        <w:t>, nor do</w:t>
      </w:r>
      <w:r w:rsidR="00443BC7">
        <w:rPr>
          <w:lang w:val="en-GB" w:eastAsia="ja-JP"/>
        </w:rPr>
        <w:t xml:space="preserve"> the normal L1-RSRP or L1-SINR report provide the NW </w:t>
      </w:r>
      <w:r w:rsidR="004236E1">
        <w:rPr>
          <w:lang w:val="en-GB" w:eastAsia="ja-JP"/>
        </w:rPr>
        <w:t xml:space="preserve">with </w:t>
      </w:r>
      <w:r w:rsidR="00443BC7">
        <w:rPr>
          <w:lang w:val="en-GB" w:eastAsia="ja-JP"/>
        </w:rPr>
        <w:t xml:space="preserve">any </w:t>
      </w:r>
      <w:r w:rsidR="004236E1">
        <w:rPr>
          <w:lang w:val="en-GB" w:eastAsia="ja-JP"/>
        </w:rPr>
        <w:t xml:space="preserve">such </w:t>
      </w:r>
      <w:r w:rsidR="00443BC7">
        <w:rPr>
          <w:lang w:val="en-GB" w:eastAsia="ja-JP"/>
        </w:rPr>
        <w:t>information.</w:t>
      </w:r>
      <w:r w:rsidR="002D3A38">
        <w:rPr>
          <w:lang w:val="en-GB" w:eastAsia="ja-JP"/>
        </w:rPr>
        <w:t xml:space="preserve"> </w:t>
      </w:r>
    </w:p>
    <w:p w14:paraId="1C45B617" w14:textId="7823FD3D" w:rsidR="002D3A38" w:rsidRDefault="00A75B48" w:rsidP="00A77734">
      <w:pPr>
        <w:rPr>
          <w:lang w:val="en-GB"/>
        </w:rPr>
      </w:pPr>
      <w:r>
        <w:rPr>
          <w:lang w:val="en-GB" w:eastAsia="ja-JP"/>
        </w:rPr>
        <w:t xml:space="preserve">One way to solve these </w:t>
      </w:r>
      <w:r w:rsidR="009335C4">
        <w:rPr>
          <w:lang w:val="en-GB" w:eastAsia="ja-JP"/>
        </w:rPr>
        <w:t xml:space="preserve">issues </w:t>
      </w:r>
      <w:r>
        <w:rPr>
          <w:lang w:val="en-GB" w:eastAsia="ja-JP"/>
        </w:rPr>
        <w:t>is to</w:t>
      </w:r>
      <w:r w:rsidR="009335C4">
        <w:rPr>
          <w:lang w:val="en-GB" w:eastAsia="ja-JP"/>
        </w:rPr>
        <w:t xml:space="preserve"> </w:t>
      </w:r>
      <w:r w:rsidR="00B65FF5">
        <w:rPr>
          <w:lang w:val="en-GB" w:eastAsia="ja-JP"/>
        </w:rPr>
        <w:t>introduc</w:t>
      </w:r>
      <w:r>
        <w:rPr>
          <w:lang w:val="en-GB" w:eastAsia="ja-JP"/>
        </w:rPr>
        <w:t>e</w:t>
      </w:r>
      <w:r w:rsidR="00B65FF5">
        <w:rPr>
          <w:lang w:val="en-GB" w:eastAsia="ja-JP"/>
        </w:rPr>
        <w:t xml:space="preserve"> a new report quantity that takes UL</w:t>
      </w:r>
      <w:r w:rsidR="009335C4">
        <w:rPr>
          <w:lang w:val="en-GB" w:eastAsia="ja-JP"/>
        </w:rPr>
        <w:t xml:space="preserve"> related information </w:t>
      </w:r>
      <w:r w:rsidR="00B65FF5">
        <w:rPr>
          <w:lang w:val="en-GB" w:eastAsia="ja-JP"/>
        </w:rPr>
        <w:t>into account</w:t>
      </w:r>
      <w:r w:rsidR="009335C4">
        <w:rPr>
          <w:lang w:val="en-GB" w:eastAsia="ja-JP"/>
        </w:rPr>
        <w:t xml:space="preserve">. In this way, the gNB can attain </w:t>
      </w:r>
      <w:r w:rsidR="00B65FF5">
        <w:rPr>
          <w:lang w:val="en-GB" w:eastAsia="ja-JP"/>
        </w:rPr>
        <w:t>i</w:t>
      </w:r>
      <w:r w:rsidR="009335C4">
        <w:rPr>
          <w:lang w:val="en-GB" w:eastAsia="ja-JP"/>
        </w:rPr>
        <w:t xml:space="preserve">nformation about how suitable </w:t>
      </w:r>
      <w:r w:rsidR="00B65FF5">
        <w:rPr>
          <w:lang w:val="en-GB" w:eastAsia="ja-JP"/>
        </w:rPr>
        <w:t>a</w:t>
      </w:r>
      <w:r w:rsidR="009335C4">
        <w:rPr>
          <w:lang w:val="en-GB" w:eastAsia="ja-JP"/>
        </w:rPr>
        <w:t xml:space="preserve"> beam pair link </w:t>
      </w:r>
      <w:r w:rsidR="00443BC7">
        <w:rPr>
          <w:lang w:val="en-GB" w:eastAsia="ja-JP"/>
        </w:rPr>
        <w:t>is</w:t>
      </w:r>
      <w:r w:rsidR="00B65FF5">
        <w:rPr>
          <w:lang w:val="en-GB" w:eastAsia="ja-JP"/>
        </w:rPr>
        <w:t xml:space="preserve"> w.r.t. UL performance. One option is to let the UE take the available </w:t>
      </w:r>
      <w:r w:rsidR="002D3A38">
        <w:rPr>
          <w:lang w:val="en-GB" w:eastAsia="ja-JP"/>
        </w:rPr>
        <w:t>transmit power into account for each reported</w:t>
      </w:r>
      <w:r w:rsidR="002D3A38" w:rsidRPr="002D3A38">
        <w:rPr>
          <w:lang w:val="en-GB"/>
        </w:rPr>
        <w:t xml:space="preserve"> </w:t>
      </w:r>
      <w:r w:rsidR="002D3A38">
        <w:rPr>
          <w:lang w:val="en-GB"/>
        </w:rPr>
        <w:t>SSBRI/CRI. In this way</w:t>
      </w:r>
      <w:r w:rsidR="004B25A1">
        <w:rPr>
          <w:lang w:val="en-GB"/>
        </w:rPr>
        <w:t>,</w:t>
      </w:r>
      <w:r w:rsidR="002D3A38">
        <w:rPr>
          <w:lang w:val="en-GB"/>
        </w:rPr>
        <w:t xml:space="preserve"> not only MPE issues are included in the beam report, but also the impact of potential available output power differences for the different beam pair links</w:t>
      </w:r>
      <w:r w:rsidR="004B25A1">
        <w:rPr>
          <w:lang w:val="en-GB"/>
        </w:rPr>
        <w:t xml:space="preserve"> (due to for example different PA capabilities)</w:t>
      </w:r>
      <w:r w:rsidR="002D3A38">
        <w:rPr>
          <w:lang w:val="en-GB"/>
        </w:rPr>
        <w:t xml:space="preserve">. Thus, we propose </w:t>
      </w:r>
    </w:p>
    <w:p w14:paraId="28E90224" w14:textId="560DAD80" w:rsidR="002D3A38" w:rsidRDefault="002D3A38" w:rsidP="002D3A38">
      <w:pPr>
        <w:pStyle w:val="Proposal"/>
        <w:rPr>
          <w:lang w:val="en-GB"/>
        </w:rPr>
      </w:pPr>
      <w:bookmarkStart w:id="60" w:name="_Toc61889382"/>
      <w:r>
        <w:rPr>
          <w:lang w:val="en-GB"/>
        </w:rPr>
        <w:t>Support Alt.1 where a new type of measurement report is introduced that includes UL quality to facilitate the gNB in selecting beam pair link for UL transmission</w:t>
      </w:r>
      <w:bookmarkEnd w:id="60"/>
      <w:r>
        <w:rPr>
          <w:lang w:val="en-GB"/>
        </w:rPr>
        <w:t xml:space="preserve"> </w:t>
      </w:r>
    </w:p>
    <w:p w14:paraId="446C3ADA" w14:textId="77777777" w:rsidR="002D3A38" w:rsidRDefault="002D3A38" w:rsidP="00A17C6E">
      <w:pPr>
        <w:pStyle w:val="BodyText"/>
        <w:rPr>
          <w:lang w:val="en-GB"/>
        </w:rPr>
      </w:pPr>
      <w:r>
        <w:rPr>
          <w:lang w:val="en-GB"/>
        </w:rPr>
        <w:t>The UL beam report would contain SSBRI/CRI and a quantity that describes UL quality.</w:t>
      </w:r>
    </w:p>
    <w:p w14:paraId="4C203757" w14:textId="7561DEC6" w:rsidR="002D3A38" w:rsidRDefault="00A75B48" w:rsidP="00A77734">
      <w:pPr>
        <w:rPr>
          <w:lang w:val="en-GB"/>
        </w:rPr>
      </w:pPr>
      <w:r>
        <w:rPr>
          <w:lang w:val="en-GB"/>
        </w:rPr>
        <w:t xml:space="preserve">The purpose of the new UL related beam report is to find and monitor a preferred beam pair link </w:t>
      </w:r>
      <w:r w:rsidR="00514BEF">
        <w:rPr>
          <w:lang w:val="en-GB"/>
        </w:rPr>
        <w:t>taking UL related performance in to account, in addition to the DL related performance measure as was specified in Rel-15/16 beam management framework. Hence, this new beam report should work in a similar way and should hence be configured and trigger by the gNB</w:t>
      </w:r>
      <w:r w:rsidR="002D3A38">
        <w:rPr>
          <w:lang w:val="en-GB"/>
        </w:rPr>
        <w:t>.</w:t>
      </w:r>
      <w:r w:rsidR="00514BEF">
        <w:rPr>
          <w:lang w:val="en-GB"/>
        </w:rPr>
        <w:t xml:space="preserve"> Thus</w:t>
      </w:r>
      <w:r w:rsidR="00A17C6E">
        <w:rPr>
          <w:lang w:val="en-GB"/>
        </w:rPr>
        <w:t>,</w:t>
      </w:r>
      <w:r w:rsidR="00514BEF">
        <w:rPr>
          <w:lang w:val="en-GB"/>
        </w:rPr>
        <w:t xml:space="preserve"> we propose</w:t>
      </w:r>
    </w:p>
    <w:p w14:paraId="2229A58E" w14:textId="231E5A43" w:rsidR="002D3A38" w:rsidRPr="00514BEF" w:rsidRDefault="00514BEF" w:rsidP="00172465">
      <w:pPr>
        <w:pStyle w:val="Proposal"/>
        <w:rPr>
          <w:rFonts w:cs="Arial"/>
          <w:lang w:val="en-GB"/>
        </w:rPr>
      </w:pPr>
      <w:bookmarkStart w:id="61" w:name="_Toc61889383"/>
      <w:r>
        <w:rPr>
          <w:rFonts w:eastAsia="Batang" w:cs="Arial"/>
          <w:szCs w:val="20"/>
          <w:lang w:val="en-GB" w:eastAsia="x-none"/>
        </w:rPr>
        <w:t>The new UL related beam report should be configured and triggered by the gNB</w:t>
      </w:r>
      <w:bookmarkEnd w:id="61"/>
    </w:p>
    <w:p w14:paraId="439A7398" w14:textId="2AAD2AD2" w:rsidR="0016710F" w:rsidRDefault="004B25A1" w:rsidP="0016710F">
      <w:pPr>
        <w:rPr>
          <w:lang w:val="en-GB"/>
        </w:rPr>
      </w:pPr>
      <w:r>
        <w:rPr>
          <w:lang w:val="en-GB"/>
        </w:rPr>
        <w:t xml:space="preserve">So, in our understanding </w:t>
      </w:r>
      <w:r w:rsidR="005F038B">
        <w:rPr>
          <w:lang w:val="en-GB"/>
        </w:rPr>
        <w:t>an</w:t>
      </w:r>
      <w:r>
        <w:rPr>
          <w:lang w:val="en-GB"/>
        </w:rPr>
        <w:t xml:space="preserve"> UL related beam report could be a useful tool to </w:t>
      </w:r>
      <w:r w:rsidR="005F038B">
        <w:rPr>
          <w:lang w:val="en-GB"/>
        </w:rPr>
        <w:t>complete</w:t>
      </w:r>
      <w:r>
        <w:rPr>
          <w:lang w:val="en-GB"/>
        </w:rPr>
        <w:t xml:space="preserve"> the P-MPR report</w:t>
      </w:r>
      <w:r w:rsidR="005F038B">
        <w:rPr>
          <w:lang w:val="en-GB"/>
        </w:rPr>
        <w:t xml:space="preserve"> in handling MPE issues</w:t>
      </w:r>
      <w:r>
        <w:rPr>
          <w:lang w:val="en-GB"/>
        </w:rPr>
        <w:t xml:space="preserve">. </w:t>
      </w:r>
      <w:r w:rsidR="00475237">
        <w:rPr>
          <w:lang w:val="en-GB"/>
        </w:rPr>
        <w:t xml:space="preserve">One example of </w:t>
      </w:r>
      <w:r>
        <w:rPr>
          <w:lang w:val="en-GB"/>
        </w:rPr>
        <w:t xml:space="preserve">this is </w:t>
      </w:r>
      <w:r w:rsidR="005F038B">
        <w:rPr>
          <w:lang w:val="en-GB"/>
        </w:rPr>
        <w:t>depicted</w:t>
      </w:r>
      <w:r>
        <w:rPr>
          <w:lang w:val="en-GB"/>
        </w:rPr>
        <w:t xml:space="preserve"> in</w:t>
      </w:r>
      <w:r w:rsidR="005F038B">
        <w:rPr>
          <w:lang w:val="en-GB"/>
        </w:rPr>
        <w:t xml:space="preserve"> a</w:t>
      </w:r>
      <w:r w:rsidR="0016710F">
        <w:rPr>
          <w:lang w:val="en-GB"/>
        </w:rPr>
        <w:t xml:space="preserve"> </w:t>
      </w:r>
      <w:r w:rsidR="00977968">
        <w:rPr>
          <w:lang w:val="en-GB"/>
        </w:rPr>
        <w:t xml:space="preserve">simplistic block diagram </w:t>
      </w:r>
      <w:r w:rsidR="005F038B">
        <w:rPr>
          <w:lang w:val="en-GB"/>
        </w:rPr>
        <w:t xml:space="preserve">in </w:t>
      </w:r>
      <w:r w:rsidR="00CF3B24">
        <w:rPr>
          <w:lang w:val="en-GB" w:eastAsia="ja-JP"/>
        </w:rPr>
        <w:fldChar w:fldCharType="begin"/>
      </w:r>
      <w:r w:rsidR="00CF3B24">
        <w:rPr>
          <w:lang w:val="en-GB" w:eastAsia="ja-JP"/>
        </w:rPr>
        <w:instrText xml:space="preserve"> REF _Ref54333589 \h </w:instrText>
      </w:r>
      <w:r w:rsidR="00CF3B24">
        <w:rPr>
          <w:lang w:val="en-GB" w:eastAsia="ja-JP"/>
        </w:rPr>
      </w:r>
      <w:r w:rsidR="00CF3B24">
        <w:rPr>
          <w:lang w:val="en-GB" w:eastAsia="ja-JP"/>
        </w:rPr>
        <w:fldChar w:fldCharType="separate"/>
      </w:r>
      <w:r w:rsidR="000B407C" w:rsidRPr="00324E84">
        <w:t xml:space="preserve">Figure </w:t>
      </w:r>
      <w:r w:rsidR="000B407C">
        <w:rPr>
          <w:noProof/>
        </w:rPr>
        <w:t>7</w:t>
      </w:r>
      <w:r w:rsidR="00CF3B24">
        <w:rPr>
          <w:lang w:val="en-GB" w:eastAsia="ja-JP"/>
        </w:rPr>
        <w:fldChar w:fldCharType="end"/>
      </w:r>
      <w:r w:rsidR="00CF3B24">
        <w:rPr>
          <w:lang w:val="en-GB" w:eastAsia="ja-JP"/>
        </w:rPr>
        <w:t>.</w:t>
      </w:r>
    </w:p>
    <w:p w14:paraId="75D53CDA" w14:textId="0BEFD996" w:rsidR="00977968" w:rsidRDefault="00CF3B24" w:rsidP="00CF3B24">
      <w:pPr>
        <w:jc w:val="center"/>
        <w:rPr>
          <w:lang w:val="en-GB" w:eastAsia="ja-JP"/>
        </w:rPr>
      </w:pPr>
      <w:r>
        <w:rPr>
          <w:noProof/>
          <w:lang w:val="en-GB" w:eastAsia="ja-JP"/>
        </w:rPr>
        <w:drawing>
          <wp:inline distT="0" distB="0" distL="0" distR="0" wp14:anchorId="0B7B1840" wp14:editId="0BDA8640">
            <wp:extent cx="3752850" cy="2450491"/>
            <wp:effectExtent l="0" t="0" r="0" b="6985"/>
            <wp:docPr id="29" name="Picture 2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MPE-ul-beamreport.png"/>
                    <pic:cNvPicPr/>
                  </pic:nvPicPr>
                  <pic:blipFill rotWithShape="1">
                    <a:blip r:embed="rId20">
                      <a:extLst>
                        <a:ext uri="{28A0092B-C50C-407E-A947-70E740481C1C}">
                          <a14:useLocalDpi xmlns:a14="http://schemas.microsoft.com/office/drawing/2010/main" val="0"/>
                        </a:ext>
                      </a:extLst>
                    </a:blip>
                    <a:srcRect b="4667"/>
                    <a:stretch/>
                  </pic:blipFill>
                  <pic:spPr bwMode="auto">
                    <a:xfrm>
                      <a:off x="0" y="0"/>
                      <a:ext cx="3757463" cy="2453503"/>
                    </a:xfrm>
                    <a:prstGeom prst="rect">
                      <a:avLst/>
                    </a:prstGeom>
                    <a:ln>
                      <a:noFill/>
                    </a:ln>
                    <a:extLst>
                      <a:ext uri="{53640926-AAD7-44D8-BBD7-CCE9431645EC}">
                        <a14:shadowObscured xmlns:a14="http://schemas.microsoft.com/office/drawing/2010/main"/>
                      </a:ext>
                    </a:extLst>
                  </pic:spPr>
                </pic:pic>
              </a:graphicData>
            </a:graphic>
          </wp:inline>
        </w:drawing>
      </w:r>
    </w:p>
    <w:p w14:paraId="6C9C3663" w14:textId="6426C7D2" w:rsidR="00977968" w:rsidRPr="00324E84" w:rsidRDefault="00977968" w:rsidP="00977968">
      <w:pPr>
        <w:pStyle w:val="TF"/>
        <w:rPr>
          <w:lang w:val="en-US"/>
        </w:rPr>
      </w:pPr>
      <w:bookmarkStart w:id="62" w:name="_Ref54333589"/>
      <w:r w:rsidRPr="00324E84">
        <w:t xml:space="preserve">Figure </w:t>
      </w:r>
      <w:r w:rsidR="00BF16F6">
        <w:fldChar w:fldCharType="begin"/>
      </w:r>
      <w:r w:rsidR="00BF16F6">
        <w:instrText xml:space="preserve"> SEQ Figure \* ARABIC </w:instrText>
      </w:r>
      <w:r w:rsidR="00BF16F6">
        <w:fldChar w:fldCharType="separate"/>
      </w:r>
      <w:r w:rsidR="000B407C">
        <w:rPr>
          <w:noProof/>
        </w:rPr>
        <w:t>7</w:t>
      </w:r>
      <w:r w:rsidR="00BF16F6">
        <w:rPr>
          <w:noProof/>
        </w:rPr>
        <w:fldChar w:fldCharType="end"/>
      </w:r>
      <w:bookmarkEnd w:id="62"/>
      <w:r w:rsidRPr="00324E84">
        <w:t xml:space="preserve">: </w:t>
      </w:r>
      <w:r w:rsidR="00CF3B24">
        <w:rPr>
          <w:lang w:val="en-US"/>
        </w:rPr>
        <w:t>Procedure to handle an MPE event</w:t>
      </w:r>
      <w:r>
        <w:rPr>
          <w:lang w:val="en-US"/>
        </w:rPr>
        <w:t>.</w:t>
      </w:r>
    </w:p>
    <w:p w14:paraId="619AA0CA" w14:textId="77777777" w:rsidR="00A520C6" w:rsidRDefault="0019074B" w:rsidP="0019074B">
      <w:pPr>
        <w:pStyle w:val="Heading2"/>
      </w:pPr>
      <w:r>
        <w:t>2.</w:t>
      </w:r>
      <w:r w:rsidR="00555136">
        <w:t>5</w:t>
      </w:r>
      <w:r>
        <w:tab/>
      </w:r>
      <w:r w:rsidR="006C1E95">
        <w:t xml:space="preserve">Issue </w:t>
      </w:r>
      <w:r>
        <w:t>6</w:t>
      </w:r>
      <w:r w:rsidR="00AA3A8A">
        <w:t>: other</w:t>
      </w:r>
    </w:p>
    <w:p w14:paraId="1624758C" w14:textId="0FE529BF" w:rsidR="0019074B" w:rsidRPr="00A520C6" w:rsidRDefault="00A520C6" w:rsidP="00A520C6">
      <w:pPr>
        <w:pStyle w:val="Heading3"/>
        <w:rPr>
          <w:lang w:val="en-US"/>
        </w:rPr>
      </w:pPr>
      <w:r>
        <w:t>2.5.1</w:t>
      </w:r>
      <w:r>
        <w:tab/>
        <w:t>Reducing the TCI state activation delay</w:t>
      </w:r>
    </w:p>
    <w:p w14:paraId="0CC8AE63" w14:textId="2C67142B" w:rsidR="00255C40" w:rsidRDefault="00255C40" w:rsidP="00255C40">
      <w:pPr>
        <w:rPr>
          <w:lang w:val="en-GB" w:eastAsia="ja-JP"/>
        </w:rPr>
      </w:pPr>
      <w:r>
        <w:rPr>
          <w:lang w:val="en-GB" w:eastAsia="ja-JP"/>
        </w:rPr>
        <w:t xml:space="preserve">One important part of the WI is to speed up the signalling related to beam management, so that it becomes possible to handle higher speeds or narrower beams. To speed up the beam management process, it is imperative to take all parts of the procedure into account. The complete beam management procedure is illustrated in </w:t>
      </w:r>
      <w:r>
        <w:rPr>
          <w:lang w:val="en-GB" w:eastAsia="ja-JP"/>
        </w:rPr>
        <w:fldChar w:fldCharType="begin"/>
      </w:r>
      <w:r>
        <w:rPr>
          <w:lang w:val="en-GB" w:eastAsia="ja-JP"/>
        </w:rPr>
        <w:instrText xml:space="preserve"> REF _Ref54014968 \h </w:instrText>
      </w:r>
      <w:r>
        <w:rPr>
          <w:lang w:val="en-GB" w:eastAsia="ja-JP"/>
        </w:rPr>
      </w:r>
      <w:r>
        <w:rPr>
          <w:lang w:val="en-GB" w:eastAsia="ja-JP"/>
        </w:rPr>
        <w:fldChar w:fldCharType="separate"/>
      </w:r>
      <w:r w:rsidR="000B407C" w:rsidRPr="00CE0424">
        <w:t xml:space="preserve">Figure </w:t>
      </w:r>
      <w:r w:rsidR="000B407C">
        <w:rPr>
          <w:noProof/>
        </w:rPr>
        <w:t>8</w:t>
      </w:r>
      <w:r>
        <w:rPr>
          <w:lang w:val="en-GB" w:eastAsia="ja-JP"/>
        </w:rPr>
        <w:fldChar w:fldCharType="end"/>
      </w:r>
      <w:r>
        <w:rPr>
          <w:lang w:val="en-GB" w:eastAsia="ja-JP"/>
        </w:rPr>
        <w:t xml:space="preserve"> when the gNB uses aperiodic CSI-RS to select TX beam.</w:t>
      </w:r>
    </w:p>
    <w:p w14:paraId="09D6C8F6" w14:textId="77777777" w:rsidR="00255C40" w:rsidRDefault="00255C40" w:rsidP="00255C40">
      <w:pPr>
        <w:rPr>
          <w:lang w:val="en-GB" w:eastAsia="ja-JP"/>
        </w:rPr>
      </w:pPr>
      <w:r>
        <w:rPr>
          <w:lang w:val="en-GB" w:eastAsia="ja-JP"/>
        </w:rPr>
        <w:t>The whole procedure consists of the following parts:</w:t>
      </w:r>
    </w:p>
    <w:p w14:paraId="0FE8334D" w14:textId="77777777" w:rsidR="00255C40" w:rsidRPr="007D3C6C" w:rsidRDefault="00255C40" w:rsidP="00AA274B">
      <w:pPr>
        <w:pStyle w:val="ListParagraph"/>
        <w:numPr>
          <w:ilvl w:val="0"/>
          <w:numId w:val="19"/>
        </w:numPr>
        <w:rPr>
          <w:rFonts w:ascii="Arial" w:hAnsi="Arial" w:cs="Arial"/>
          <w:sz w:val="20"/>
          <w:szCs w:val="20"/>
          <w:lang w:val="en-GB" w:eastAsia="ja-JP"/>
        </w:rPr>
      </w:pPr>
      <w:r w:rsidRPr="007D3C6C">
        <w:rPr>
          <w:rFonts w:ascii="Arial" w:hAnsi="Arial" w:cs="Arial"/>
          <w:sz w:val="20"/>
          <w:szCs w:val="20"/>
          <w:lang w:val="en-GB" w:eastAsia="ja-JP"/>
        </w:rPr>
        <w:t>The gNB transmits an aperiodic CSI-RS</w:t>
      </w:r>
    </w:p>
    <w:p w14:paraId="5A04D1B6" w14:textId="77777777" w:rsidR="00255C40" w:rsidRPr="007D3C6C" w:rsidRDefault="00255C40" w:rsidP="00AA274B">
      <w:pPr>
        <w:pStyle w:val="ListParagraph"/>
        <w:numPr>
          <w:ilvl w:val="0"/>
          <w:numId w:val="19"/>
        </w:numPr>
        <w:rPr>
          <w:rFonts w:ascii="Arial" w:hAnsi="Arial" w:cs="Arial"/>
          <w:sz w:val="20"/>
          <w:szCs w:val="20"/>
          <w:lang w:val="en-GB" w:eastAsia="ja-JP"/>
        </w:rPr>
      </w:pPr>
      <w:r w:rsidRPr="007D3C6C">
        <w:rPr>
          <w:rFonts w:ascii="Arial" w:hAnsi="Arial" w:cs="Arial"/>
          <w:sz w:val="20"/>
          <w:szCs w:val="20"/>
          <w:lang w:val="en-GB" w:eastAsia="ja-JP"/>
        </w:rPr>
        <w:t>The UE performs a measurement and sends the report</w:t>
      </w:r>
    </w:p>
    <w:p w14:paraId="05EE0A90" w14:textId="77777777" w:rsidR="00255C40" w:rsidRPr="007D3C6C" w:rsidRDefault="00255C40" w:rsidP="00AA274B">
      <w:pPr>
        <w:pStyle w:val="ListParagraph"/>
        <w:numPr>
          <w:ilvl w:val="0"/>
          <w:numId w:val="19"/>
        </w:numPr>
        <w:rPr>
          <w:rFonts w:ascii="Arial" w:hAnsi="Arial" w:cs="Arial"/>
          <w:sz w:val="20"/>
          <w:szCs w:val="20"/>
          <w:lang w:val="en-GB" w:eastAsia="ja-JP"/>
        </w:rPr>
      </w:pPr>
      <w:r w:rsidRPr="007D3C6C">
        <w:rPr>
          <w:rFonts w:ascii="Arial" w:hAnsi="Arial" w:cs="Arial"/>
          <w:sz w:val="20"/>
          <w:szCs w:val="20"/>
          <w:lang w:val="en-GB" w:eastAsia="ja-JP"/>
        </w:rPr>
        <w:t xml:space="preserve">The gNB sends a TCI state update, which is </w:t>
      </w:r>
      <w:r>
        <w:rPr>
          <w:rFonts w:ascii="Arial" w:hAnsi="Arial" w:cs="Arial"/>
          <w:sz w:val="20"/>
          <w:szCs w:val="20"/>
          <w:lang w:val="en-GB" w:eastAsia="ja-JP"/>
        </w:rPr>
        <w:t>ACK</w:t>
      </w:r>
      <w:r w:rsidRPr="007D3C6C">
        <w:rPr>
          <w:rFonts w:ascii="Arial" w:hAnsi="Arial" w:cs="Arial"/>
          <w:sz w:val="20"/>
          <w:szCs w:val="20"/>
          <w:lang w:val="en-GB" w:eastAsia="ja-JP"/>
        </w:rPr>
        <w:t>ed by the UE</w:t>
      </w:r>
    </w:p>
    <w:p w14:paraId="1817E8D1" w14:textId="77777777" w:rsidR="00255C40" w:rsidRPr="007D3C6C" w:rsidRDefault="00255C40" w:rsidP="00AA274B">
      <w:pPr>
        <w:pStyle w:val="ListParagraph"/>
        <w:numPr>
          <w:ilvl w:val="0"/>
          <w:numId w:val="19"/>
        </w:numPr>
        <w:rPr>
          <w:rFonts w:ascii="Arial" w:hAnsi="Arial" w:cs="Arial"/>
          <w:sz w:val="20"/>
          <w:szCs w:val="20"/>
          <w:lang w:val="en-GB" w:eastAsia="ja-JP"/>
        </w:rPr>
      </w:pPr>
      <w:r w:rsidRPr="007D3C6C">
        <w:rPr>
          <w:rFonts w:ascii="Arial" w:hAnsi="Arial" w:cs="Arial"/>
          <w:sz w:val="20"/>
          <w:szCs w:val="20"/>
          <w:lang w:val="en-GB" w:eastAsia="ja-JP"/>
        </w:rPr>
        <w:t>The updated TCI state takes effect</w:t>
      </w:r>
    </w:p>
    <w:p w14:paraId="684B5DBC" w14:textId="2D26BB5D" w:rsidR="00255C40" w:rsidRPr="007D3C6C" w:rsidRDefault="00255C40" w:rsidP="00AA274B">
      <w:pPr>
        <w:pStyle w:val="ListParagraph"/>
        <w:numPr>
          <w:ilvl w:val="0"/>
          <w:numId w:val="19"/>
        </w:numPr>
        <w:rPr>
          <w:rFonts w:ascii="Arial" w:hAnsi="Arial" w:cs="Arial"/>
          <w:sz w:val="20"/>
          <w:szCs w:val="20"/>
          <w:lang w:val="en-GB" w:eastAsia="ja-JP"/>
        </w:rPr>
      </w:pPr>
      <w:r w:rsidRPr="007D3C6C">
        <w:rPr>
          <w:rFonts w:ascii="Arial" w:hAnsi="Arial" w:cs="Arial"/>
          <w:sz w:val="20"/>
          <w:szCs w:val="20"/>
          <w:lang w:val="en-GB" w:eastAsia="ja-JP"/>
        </w:rPr>
        <w:t>The UE applies the new TCI state when the corresponding SSB has been received.</w:t>
      </w:r>
      <w:r w:rsidR="00894A1D">
        <w:rPr>
          <w:rFonts w:ascii="Arial" w:hAnsi="Arial" w:cs="Arial"/>
          <w:sz w:val="20"/>
          <w:szCs w:val="20"/>
          <w:lang w:val="en-GB" w:eastAsia="ja-JP"/>
        </w:rPr>
        <w:br/>
      </w:r>
    </w:p>
    <w:p w14:paraId="2E57DDE6" w14:textId="33EBC269" w:rsidR="00255C40" w:rsidRDefault="00255C40" w:rsidP="00255C40">
      <w:pPr>
        <w:rPr>
          <w:lang w:val="en-GB" w:eastAsia="ja-JP"/>
        </w:rPr>
      </w:pPr>
      <w:r>
        <w:rPr>
          <w:lang w:val="en-GB" w:eastAsia="ja-JP"/>
        </w:rPr>
        <w:t xml:space="preserve">One interesting point to note from </w:t>
      </w:r>
      <w:r>
        <w:rPr>
          <w:lang w:val="en-GB" w:eastAsia="ja-JP"/>
        </w:rPr>
        <w:fldChar w:fldCharType="begin"/>
      </w:r>
      <w:r>
        <w:rPr>
          <w:lang w:val="en-GB" w:eastAsia="ja-JP"/>
        </w:rPr>
        <w:instrText xml:space="preserve"> REF _Ref54014968 \h </w:instrText>
      </w:r>
      <w:r>
        <w:rPr>
          <w:lang w:val="en-GB" w:eastAsia="ja-JP"/>
        </w:rPr>
      </w:r>
      <w:r>
        <w:rPr>
          <w:lang w:val="en-GB" w:eastAsia="ja-JP"/>
        </w:rPr>
        <w:fldChar w:fldCharType="separate"/>
      </w:r>
      <w:r w:rsidR="000B407C" w:rsidRPr="00CE0424">
        <w:t xml:space="preserve">Figure </w:t>
      </w:r>
      <w:r w:rsidR="000B407C">
        <w:rPr>
          <w:noProof/>
        </w:rPr>
        <w:t>8</w:t>
      </w:r>
      <w:r>
        <w:rPr>
          <w:lang w:val="en-GB" w:eastAsia="ja-JP"/>
        </w:rPr>
        <w:fldChar w:fldCharType="end"/>
      </w:r>
      <w:r>
        <w:rPr>
          <w:lang w:val="en-GB" w:eastAsia="ja-JP"/>
        </w:rPr>
        <w:t xml:space="preserve"> is that the UE according to current specification (38.133) needs to wait for the reception of the SSB corresponding to the activated TCI state. Since the time between SSBs is typically 20ms, this activation delay will in most cases dominate the beam management delay:</w:t>
      </w:r>
    </w:p>
    <w:p w14:paraId="7BE889E8" w14:textId="77777777" w:rsidR="00255C40" w:rsidRDefault="00255C40" w:rsidP="00255C40">
      <w:pPr>
        <w:pStyle w:val="Observation"/>
        <w:rPr>
          <w:lang w:val="en-GB"/>
        </w:rPr>
      </w:pPr>
      <w:bookmarkStart w:id="63" w:name="_Toc61889348"/>
      <w:r>
        <w:rPr>
          <w:lang w:val="en-GB"/>
        </w:rPr>
        <w:t>In current specification, the activation delay dominates the beam management delay.</w:t>
      </w:r>
      <w:bookmarkEnd w:id="63"/>
      <w:r>
        <w:rPr>
          <w:lang w:val="en-GB"/>
        </w:rPr>
        <w:t xml:space="preserve"> </w:t>
      </w:r>
    </w:p>
    <w:p w14:paraId="22FF82D1" w14:textId="048BCA56" w:rsidR="00255C40" w:rsidRDefault="00255C40" w:rsidP="00255C40">
      <w:pPr>
        <w:rPr>
          <w:lang w:val="en-GB"/>
        </w:rPr>
      </w:pPr>
      <w:r>
        <w:rPr>
          <w:lang w:val="en-GB"/>
        </w:rPr>
        <w:t xml:space="preserve">In the most common case, the UE will have performed a measurement on the RS in the newly activate TCI state. To perform a measurement on an RS, the UE must have derived QCL properties of that RS, at least regarding </w:t>
      </w:r>
      <w:r w:rsidR="00A520C6">
        <w:rPr>
          <w:lang w:val="en-GB"/>
        </w:rPr>
        <w:t>QCL-T</w:t>
      </w:r>
      <w:r>
        <w:rPr>
          <w:lang w:val="en-GB"/>
        </w:rPr>
        <w:t xml:space="preserve">ypeC and </w:t>
      </w:r>
      <w:r w:rsidR="00A520C6">
        <w:rPr>
          <w:lang w:val="en-GB"/>
        </w:rPr>
        <w:t>QCL-T</w:t>
      </w:r>
      <w:r>
        <w:rPr>
          <w:lang w:val="en-GB"/>
        </w:rPr>
        <w:t>ypeD. Thus, the UE has derived the QCL properties of the RS it reports. If the UE could remember the QCL properties of any RSs it has reported, at least for some time, it would be possible to avoid the activation delay, at least for some RS:</w:t>
      </w:r>
    </w:p>
    <w:p w14:paraId="3F4A5761" w14:textId="77777777" w:rsidR="00255C40" w:rsidRDefault="00255C40" w:rsidP="00255C40">
      <w:pPr>
        <w:pStyle w:val="Observation"/>
        <w:rPr>
          <w:lang w:val="en-GB"/>
        </w:rPr>
      </w:pPr>
      <w:bookmarkStart w:id="64" w:name="_Toc61889349"/>
      <w:r>
        <w:rPr>
          <w:lang w:val="en-GB"/>
        </w:rPr>
        <w:t>If the UE would store the QCL properties of the RSs on which it has performed beam management measurements, the activation delay could be avoided. It would be sufficient if the UE stored the QCL properties for a small number of RSs for a limited period of time.</w:t>
      </w:r>
      <w:bookmarkEnd w:id="64"/>
    </w:p>
    <w:p w14:paraId="2206FAB5" w14:textId="77777777" w:rsidR="00255C40" w:rsidRDefault="00255C40" w:rsidP="00255C40">
      <w:pPr>
        <w:rPr>
          <w:lang w:val="en-GB"/>
        </w:rPr>
      </w:pPr>
    </w:p>
    <w:p w14:paraId="00CCBCC3" w14:textId="77777777" w:rsidR="00255C40" w:rsidRDefault="00255C40" w:rsidP="00255C40">
      <w:pPr>
        <w:pStyle w:val="TF"/>
      </w:pPr>
      <w:r w:rsidRPr="00C54861">
        <w:rPr>
          <w:noProof/>
          <w:lang w:val="en-US" w:eastAsia="ja-JP"/>
        </w:rPr>
        <w:drawing>
          <wp:inline distT="0" distB="0" distL="0" distR="0" wp14:anchorId="51C5BA88" wp14:editId="526673EC">
            <wp:extent cx="3448050" cy="3519614"/>
            <wp:effectExtent l="0" t="0" r="0" b="5080"/>
            <wp:docPr id="7" name="Picture 2" descr="A screenshot of a cell phone&#10;&#10;Description automatically generated">
              <a:extLst xmlns:a="http://schemas.openxmlformats.org/drawingml/2006/main">
                <a:ext uri="{FF2B5EF4-FFF2-40B4-BE49-F238E27FC236}">
                  <a16:creationId xmlns:a16="http://schemas.microsoft.com/office/drawing/2014/main" id="{CCCADF77-F135-43BA-B6F8-5B24098147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screenshot of a cell phone&#10;&#10;Description automatically generated">
                      <a:extLst>
                        <a:ext uri="{FF2B5EF4-FFF2-40B4-BE49-F238E27FC236}">
                          <a16:creationId xmlns:a16="http://schemas.microsoft.com/office/drawing/2014/main" id="{CCCADF77-F135-43BA-B6F8-5B240981474B}"/>
                        </a:ext>
                      </a:extLst>
                    </pic:cNvPr>
                    <pic:cNvPicPr>
                      <a:picLocks noChangeAspect="1"/>
                    </pic:cNvPicPr>
                  </pic:nvPicPr>
                  <pic:blipFill rotWithShape="1">
                    <a:blip r:embed="rId21">
                      <a:extLst>
                        <a:ext uri="{28A0092B-C50C-407E-A947-70E740481C1C}">
                          <a14:useLocalDpi xmlns:a14="http://schemas.microsoft.com/office/drawing/2010/main" val="0"/>
                        </a:ext>
                      </a:extLst>
                    </a:blip>
                    <a:srcRect b="2523"/>
                    <a:stretch/>
                  </pic:blipFill>
                  <pic:spPr bwMode="auto">
                    <a:xfrm>
                      <a:off x="0" y="0"/>
                      <a:ext cx="3456882" cy="3528629"/>
                    </a:xfrm>
                    <a:prstGeom prst="rect">
                      <a:avLst/>
                    </a:prstGeom>
                    <a:ln>
                      <a:noFill/>
                    </a:ln>
                    <a:extLst>
                      <a:ext uri="{53640926-AAD7-44D8-BBD7-CCE9431645EC}">
                        <a14:shadowObscured xmlns:a14="http://schemas.microsoft.com/office/drawing/2010/main"/>
                      </a:ext>
                    </a:extLst>
                  </pic:spPr>
                </pic:pic>
              </a:graphicData>
            </a:graphic>
          </wp:inline>
        </w:drawing>
      </w:r>
    </w:p>
    <w:p w14:paraId="4972317F" w14:textId="105888F5" w:rsidR="00255C40" w:rsidRPr="00C54861" w:rsidRDefault="00255C40" w:rsidP="00255C40">
      <w:pPr>
        <w:pStyle w:val="TF"/>
        <w:rPr>
          <w:lang w:val="en-US"/>
        </w:rPr>
      </w:pPr>
      <w:bookmarkStart w:id="65" w:name="_Ref54014968"/>
      <w:r w:rsidRPr="00CE0424">
        <w:t xml:space="preserve">Figure </w:t>
      </w:r>
      <w:r w:rsidR="00BF16F6">
        <w:fldChar w:fldCharType="begin"/>
      </w:r>
      <w:r w:rsidR="00BF16F6">
        <w:instrText xml:space="preserve"> SEQ Figure \* ARABIC </w:instrText>
      </w:r>
      <w:r w:rsidR="00BF16F6">
        <w:fldChar w:fldCharType="separate"/>
      </w:r>
      <w:r w:rsidR="000B407C">
        <w:rPr>
          <w:noProof/>
        </w:rPr>
        <w:t>8</w:t>
      </w:r>
      <w:r w:rsidR="00BF16F6">
        <w:rPr>
          <w:noProof/>
        </w:rPr>
        <w:fldChar w:fldCharType="end"/>
      </w:r>
      <w:bookmarkEnd w:id="65"/>
      <w:r w:rsidRPr="00CE0424">
        <w:t xml:space="preserve">: </w:t>
      </w:r>
      <w:r w:rsidRPr="00C54861">
        <w:rPr>
          <w:lang w:val="en-US"/>
        </w:rPr>
        <w:t xml:space="preserve">Beam management </w:t>
      </w:r>
      <w:r>
        <w:rPr>
          <w:lang w:val="en-US"/>
        </w:rPr>
        <w:t>when the gNB uses</w:t>
      </w:r>
      <w:r w:rsidRPr="00C54861">
        <w:rPr>
          <w:lang w:val="en-US"/>
        </w:rPr>
        <w:t xml:space="preserve"> a</w:t>
      </w:r>
      <w:r>
        <w:rPr>
          <w:lang w:val="en-US"/>
        </w:rPr>
        <w:t>periodic CSI-RS to select Tx beam and the UE uses SSB to adjust its RX beam.</w:t>
      </w:r>
    </w:p>
    <w:p w14:paraId="3CE1B8DE" w14:textId="77777777" w:rsidR="00255C40" w:rsidRDefault="00255C40" w:rsidP="00255C40">
      <w:pPr>
        <w:rPr>
          <w:lang w:val="en-GB"/>
        </w:rPr>
      </w:pPr>
      <w:r>
        <w:rPr>
          <w:lang w:val="en-GB"/>
        </w:rPr>
        <w:t xml:space="preserve">We thus propose </w:t>
      </w:r>
    </w:p>
    <w:p w14:paraId="3A7DF8E3" w14:textId="77777777" w:rsidR="00255C40" w:rsidRDefault="00255C40" w:rsidP="00255C40">
      <w:pPr>
        <w:pStyle w:val="Proposal"/>
        <w:rPr>
          <w:lang w:val="en-GB"/>
        </w:rPr>
      </w:pPr>
      <w:bookmarkStart w:id="66" w:name="_Ref54018103"/>
      <w:bookmarkStart w:id="67" w:name="_Toc61889384"/>
      <w:r>
        <w:rPr>
          <w:lang w:val="en-GB"/>
        </w:rPr>
        <w:t>The UE can be configured to store the QCL properties of a subset of the RSs it has reported for a limited period of time.</w:t>
      </w:r>
      <w:bookmarkEnd w:id="66"/>
      <w:bookmarkEnd w:id="67"/>
    </w:p>
    <w:p w14:paraId="0DC1E6F2" w14:textId="60EB17EB" w:rsidR="00255C40" w:rsidRDefault="00255C40" w:rsidP="00255C40">
      <w:pPr>
        <w:rPr>
          <w:lang w:val="en-GB" w:eastAsia="ja-JP"/>
        </w:rPr>
      </w:pPr>
      <w:r>
        <w:rPr>
          <w:lang w:val="en-GB" w:eastAsia="ja-JP"/>
        </w:rPr>
        <w:t xml:space="preserve">Note that the activation delay is described in RAN4 specifications. Reducing the activation delay, potentially using the method proposed in </w:t>
      </w:r>
      <w:r>
        <w:rPr>
          <w:lang w:val="en-GB" w:eastAsia="ja-JP"/>
        </w:rPr>
        <w:fldChar w:fldCharType="begin"/>
      </w:r>
      <w:r>
        <w:rPr>
          <w:lang w:val="en-GB" w:eastAsia="ja-JP"/>
        </w:rPr>
        <w:instrText xml:space="preserve"> REF _Ref54018103 \r \h </w:instrText>
      </w:r>
      <w:r>
        <w:rPr>
          <w:lang w:val="en-GB" w:eastAsia="ja-JP"/>
        </w:rPr>
      </w:r>
      <w:r>
        <w:rPr>
          <w:lang w:val="en-GB" w:eastAsia="ja-JP"/>
        </w:rPr>
        <w:fldChar w:fldCharType="separate"/>
      </w:r>
      <w:r w:rsidR="00D9062D">
        <w:rPr>
          <w:lang w:val="en-GB" w:eastAsia="ja-JP"/>
        </w:rPr>
        <w:t>Proposal 35</w:t>
      </w:r>
      <w:r>
        <w:rPr>
          <w:lang w:val="en-GB" w:eastAsia="ja-JP"/>
        </w:rPr>
        <w:fldChar w:fldCharType="end"/>
      </w:r>
      <w:r>
        <w:rPr>
          <w:lang w:val="en-GB" w:eastAsia="ja-JP"/>
        </w:rPr>
        <w:t xml:space="preserve">, </w:t>
      </w:r>
      <w:r w:rsidR="00894A1D">
        <w:rPr>
          <w:lang w:val="en-GB" w:eastAsia="ja-JP"/>
        </w:rPr>
        <w:t xml:space="preserve">would require </w:t>
      </w:r>
      <w:r>
        <w:rPr>
          <w:lang w:val="en-GB" w:eastAsia="ja-JP"/>
        </w:rPr>
        <w:t xml:space="preserve">RAN4 </w:t>
      </w:r>
      <w:r w:rsidR="00894A1D">
        <w:rPr>
          <w:lang w:val="en-GB" w:eastAsia="ja-JP"/>
        </w:rPr>
        <w:t>involvement</w:t>
      </w:r>
      <w:r>
        <w:rPr>
          <w:lang w:val="en-GB" w:eastAsia="ja-JP"/>
        </w:rPr>
        <w:t xml:space="preserve">. </w:t>
      </w:r>
      <w:r w:rsidR="00A520C6">
        <w:rPr>
          <w:lang w:val="en-GB" w:eastAsia="ja-JP"/>
        </w:rPr>
        <w:t xml:space="preserve">Once RAN4 starts the Rel-1 work related to FeMIMO, any reduction in the TCI state activation delay would be very beneficial. </w:t>
      </w:r>
      <w:r>
        <w:rPr>
          <w:lang w:val="en-GB" w:eastAsia="ja-JP"/>
        </w:rPr>
        <w:t>Therefore, we propose</w:t>
      </w:r>
    </w:p>
    <w:p w14:paraId="62C59A85" w14:textId="5DDCCB64" w:rsidR="00255C40" w:rsidRDefault="00A520C6" w:rsidP="00255C40">
      <w:pPr>
        <w:pStyle w:val="Proposal"/>
        <w:rPr>
          <w:lang w:val="en-GB"/>
        </w:rPr>
      </w:pPr>
      <w:bookmarkStart w:id="68" w:name="_Toc61889385"/>
      <w:r>
        <w:rPr>
          <w:lang w:val="en-GB"/>
        </w:rPr>
        <w:t xml:space="preserve">Explain the identified issue on TCI state </w:t>
      </w:r>
      <w:r w:rsidR="00255C40">
        <w:rPr>
          <w:lang w:val="en-GB"/>
        </w:rPr>
        <w:t>activation delay in relation to the RAN1 work</w:t>
      </w:r>
      <w:r>
        <w:rPr>
          <w:lang w:val="en-GB"/>
        </w:rPr>
        <w:t xml:space="preserve"> in a future LS to RAN4</w:t>
      </w:r>
      <w:r w:rsidR="00255C40">
        <w:rPr>
          <w:lang w:val="en-GB"/>
        </w:rPr>
        <w:t>.</w:t>
      </w:r>
      <w:bookmarkEnd w:id="68"/>
    </w:p>
    <w:p w14:paraId="74EA0642" w14:textId="5BC01068" w:rsidR="00A520C6" w:rsidRDefault="00922008" w:rsidP="00922008">
      <w:pPr>
        <w:rPr>
          <w:lang w:val="en-GB"/>
        </w:rPr>
      </w:pPr>
      <w:r>
        <w:rPr>
          <w:lang w:val="en-GB"/>
        </w:rPr>
        <w:t>We also note that the TA issue mentioned in section 2.1.</w:t>
      </w:r>
      <w:r w:rsidR="004236E1">
        <w:rPr>
          <w:lang w:val="en-GB"/>
        </w:rPr>
        <w:t>3</w:t>
      </w:r>
      <w:r>
        <w:rPr>
          <w:lang w:val="en-GB"/>
        </w:rPr>
        <w:t xml:space="preserve"> is important to improve the performance of most functionalities discussed in the FeMIMO WI.</w:t>
      </w:r>
    </w:p>
    <w:p w14:paraId="7983B56E" w14:textId="5C1467B5" w:rsidR="00922008" w:rsidRDefault="00A520C6" w:rsidP="00A520C6">
      <w:pPr>
        <w:pStyle w:val="Heading3"/>
      </w:pPr>
      <w:r>
        <w:t>2.5.2</w:t>
      </w:r>
      <w:r>
        <w:tab/>
        <w:t>SSB measurement enhancement for CA</w:t>
      </w:r>
    </w:p>
    <w:p w14:paraId="30E9AA9B" w14:textId="23DE6BCF" w:rsidR="00A5545E" w:rsidRDefault="003464B2" w:rsidP="003464B2">
      <w:pPr>
        <w:rPr>
          <w:lang w:val="en-GB" w:eastAsia="ja-JP"/>
        </w:rPr>
      </w:pPr>
      <w:r>
        <w:rPr>
          <w:lang w:val="en-GB" w:eastAsia="ja-JP"/>
        </w:rPr>
        <w:t xml:space="preserve">Intra-band CA is commonly used in FR2. In each carrier, the NW typically transmits SSB in a beam swept fashion. In Rel-15/16, the UE cannot assume that there is any relation between SSB measurements on the </w:t>
      </w:r>
      <w:r w:rsidR="00A5545E">
        <w:rPr>
          <w:lang w:val="en-GB" w:eastAsia="ja-JP"/>
        </w:rPr>
        <w:t xml:space="preserve">different </w:t>
      </w:r>
      <w:r w:rsidR="00C433D8">
        <w:rPr>
          <w:lang w:val="en-GB" w:eastAsia="ja-JP"/>
        </w:rPr>
        <w:t>component carriers (</w:t>
      </w:r>
      <w:r w:rsidR="00A5545E">
        <w:rPr>
          <w:lang w:val="en-GB" w:eastAsia="ja-JP"/>
        </w:rPr>
        <w:t>CCs</w:t>
      </w:r>
      <w:r w:rsidR="00C433D8">
        <w:rPr>
          <w:lang w:val="en-GB" w:eastAsia="ja-JP"/>
        </w:rPr>
        <w:t>)</w:t>
      </w:r>
      <w:r w:rsidR="00A5545E">
        <w:rPr>
          <w:lang w:val="en-GB" w:eastAsia="ja-JP"/>
        </w:rPr>
        <w:t xml:space="preserve">. The UE would have to perform </w:t>
      </w:r>
      <w:r w:rsidR="00FB1162">
        <w:rPr>
          <w:lang w:val="en-GB" w:eastAsia="ja-JP"/>
        </w:rPr>
        <w:t xml:space="preserve">measurements on every relevant CC and </w:t>
      </w:r>
      <w:r w:rsidR="00C433D8">
        <w:rPr>
          <w:lang w:val="en-GB" w:eastAsia="ja-JP"/>
        </w:rPr>
        <w:t xml:space="preserve">for a relevant CC, </w:t>
      </w:r>
      <w:r w:rsidR="00FB1162">
        <w:rPr>
          <w:lang w:val="en-GB" w:eastAsia="ja-JP"/>
        </w:rPr>
        <w:t>the UE would have to perform measurement</w:t>
      </w:r>
      <w:r w:rsidR="00C433D8">
        <w:rPr>
          <w:lang w:val="en-GB" w:eastAsia="ja-JP"/>
        </w:rPr>
        <w:t xml:space="preserve"> on all SSBs on that CC. This is despite the fact that we often perform beam management jointly over the CCs. </w:t>
      </w:r>
    </w:p>
    <w:p w14:paraId="10A0114A" w14:textId="29AB824B" w:rsidR="00C433D8" w:rsidRDefault="00C433D8" w:rsidP="003464B2">
      <w:pPr>
        <w:rPr>
          <w:lang w:val="en-GB" w:eastAsia="ja-JP"/>
        </w:rPr>
      </w:pPr>
      <w:r>
        <w:rPr>
          <w:lang w:val="en-GB" w:eastAsia="ja-JP"/>
        </w:rPr>
        <w:t>To streamline the measurement procedure, we propose to provide the UE with information on equivalent SSB</w:t>
      </w:r>
      <w:r w:rsidR="00B01337">
        <w:rPr>
          <w:lang w:val="en-GB" w:eastAsia="ja-JP"/>
        </w:rPr>
        <w:t>s in the different CCs.</w:t>
      </w:r>
      <w:r w:rsidR="004D38DA">
        <w:rPr>
          <w:lang w:val="en-GB" w:eastAsia="ja-JP"/>
        </w:rPr>
        <w:t xml:space="preserve"> The gNB would inform the UE that a measurement on one SSB in one carrier could be substituted for a measurement of another SSB on another carrier:</w:t>
      </w:r>
    </w:p>
    <w:p w14:paraId="33B239EF" w14:textId="15B7A17B" w:rsidR="004D38DA" w:rsidRDefault="004D38DA" w:rsidP="004D38DA">
      <w:pPr>
        <w:pStyle w:val="Proposal"/>
        <w:rPr>
          <w:lang w:val="en-GB"/>
        </w:rPr>
      </w:pPr>
      <w:bookmarkStart w:id="69" w:name="_Toc61889386"/>
      <w:r>
        <w:rPr>
          <w:lang w:val="en-GB"/>
        </w:rPr>
        <w:t>The gNB can configure the UE with equivalent SSBs on different carriers.</w:t>
      </w:r>
      <w:bookmarkEnd w:id="69"/>
    </w:p>
    <w:p w14:paraId="40BAA827" w14:textId="6C674DB4" w:rsidR="004D38DA" w:rsidRDefault="004D38DA" w:rsidP="004D38DA">
      <w:pPr>
        <w:pStyle w:val="BodyText"/>
        <w:rPr>
          <w:lang w:val="en-GB"/>
        </w:rPr>
      </w:pPr>
      <w:r>
        <w:rPr>
          <w:lang w:val="en-GB"/>
        </w:rPr>
        <w:t xml:space="preserve">The main use case for this functionality would be that the gNB staggers the mapping of SSBs to Tx beams in different carriers.  </w:t>
      </w:r>
      <w:r w:rsidR="00D87A43">
        <w:rPr>
          <w:lang w:val="en-GB"/>
        </w:rPr>
        <w:t xml:space="preserve">The benefits are illustrated in </w:t>
      </w:r>
      <w:r w:rsidR="00B717E3">
        <w:rPr>
          <w:lang w:val="en-GB"/>
        </w:rPr>
        <w:fldChar w:fldCharType="begin"/>
      </w:r>
      <w:r w:rsidR="00B717E3">
        <w:rPr>
          <w:lang w:val="en-GB"/>
        </w:rPr>
        <w:instrText xml:space="preserve"> REF _Ref61618145 \h </w:instrText>
      </w:r>
      <w:r w:rsidR="00B717E3">
        <w:rPr>
          <w:lang w:val="en-GB"/>
        </w:rPr>
      </w:r>
      <w:r w:rsidR="00B717E3">
        <w:rPr>
          <w:lang w:val="en-GB"/>
        </w:rPr>
        <w:fldChar w:fldCharType="separate"/>
      </w:r>
      <w:r w:rsidR="000B407C" w:rsidRPr="00CE0424">
        <w:t xml:space="preserve">Figure </w:t>
      </w:r>
      <w:r w:rsidR="000B407C">
        <w:rPr>
          <w:noProof/>
        </w:rPr>
        <w:t>9</w:t>
      </w:r>
      <w:r w:rsidR="00B717E3">
        <w:rPr>
          <w:lang w:val="en-GB"/>
        </w:rPr>
        <w:fldChar w:fldCharType="end"/>
      </w:r>
      <w:r w:rsidR="00B717E3">
        <w:rPr>
          <w:lang w:val="en-GB"/>
        </w:rPr>
        <w:t>.</w:t>
      </w:r>
    </w:p>
    <w:p w14:paraId="15DB73BB" w14:textId="5E332B9B" w:rsidR="003464B2" w:rsidRDefault="003464B2" w:rsidP="003464B2">
      <w:pPr>
        <w:rPr>
          <w:lang w:val="en-GB" w:eastAsia="ja-JP"/>
        </w:rPr>
      </w:pPr>
      <w:r>
        <w:rPr>
          <w:lang w:val="en-GB" w:eastAsia="ja-JP"/>
        </w:rPr>
        <w:t xml:space="preserve"> </w:t>
      </w:r>
      <w:r w:rsidR="00340BEB">
        <w:rPr>
          <w:noProof/>
          <w:lang w:val="en-GB" w:eastAsia="ja-JP"/>
        </w:rPr>
        <w:drawing>
          <wp:inline distT="0" distB="0" distL="0" distR="0" wp14:anchorId="6C1CB698" wp14:editId="04A7EE11">
            <wp:extent cx="6120765" cy="1579880"/>
            <wp:effectExtent l="0" t="0" r="0" b="1270"/>
            <wp:docPr id="23" name="Picture 2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eq-ssb.png"/>
                    <pic:cNvPicPr/>
                  </pic:nvPicPr>
                  <pic:blipFill>
                    <a:blip r:embed="rId22">
                      <a:extLst>
                        <a:ext uri="{28A0092B-C50C-407E-A947-70E740481C1C}">
                          <a14:useLocalDpi xmlns:a14="http://schemas.microsoft.com/office/drawing/2010/main" val="0"/>
                        </a:ext>
                      </a:extLst>
                    </a:blip>
                    <a:stretch>
                      <a:fillRect/>
                    </a:stretch>
                  </pic:blipFill>
                  <pic:spPr>
                    <a:xfrm>
                      <a:off x="0" y="0"/>
                      <a:ext cx="6120765" cy="1579880"/>
                    </a:xfrm>
                    <a:prstGeom prst="rect">
                      <a:avLst/>
                    </a:prstGeom>
                  </pic:spPr>
                </pic:pic>
              </a:graphicData>
            </a:graphic>
          </wp:inline>
        </w:drawing>
      </w:r>
    </w:p>
    <w:p w14:paraId="2497D5B4" w14:textId="15D04A2B" w:rsidR="0083076E" w:rsidRPr="003B781B" w:rsidRDefault="00D87A43" w:rsidP="003B781B">
      <w:pPr>
        <w:pStyle w:val="TF"/>
        <w:rPr>
          <w:lang w:val="en-US"/>
        </w:rPr>
      </w:pPr>
      <w:bookmarkStart w:id="70" w:name="_Ref61618145"/>
      <w:r w:rsidRPr="00CE0424">
        <w:t xml:space="preserve">Figure </w:t>
      </w:r>
      <w:r>
        <w:fldChar w:fldCharType="begin"/>
      </w:r>
      <w:r>
        <w:instrText xml:space="preserve"> SEQ Figure \* ARABIC </w:instrText>
      </w:r>
      <w:r>
        <w:fldChar w:fldCharType="separate"/>
      </w:r>
      <w:r w:rsidR="000B407C">
        <w:rPr>
          <w:noProof/>
        </w:rPr>
        <w:t>9</w:t>
      </w:r>
      <w:r>
        <w:rPr>
          <w:noProof/>
        </w:rPr>
        <w:fldChar w:fldCharType="end"/>
      </w:r>
      <w:bookmarkEnd w:id="70"/>
      <w:r w:rsidRPr="00CE0424">
        <w:t xml:space="preserve">: </w:t>
      </w:r>
      <w:r>
        <w:rPr>
          <w:lang w:val="en-US"/>
        </w:rPr>
        <w:t>Example use case for equivalent SSBs. The gNB would inform the UE that SSB2 on CC0 is equivalent to</w:t>
      </w:r>
      <w:r w:rsidR="00B717E3">
        <w:rPr>
          <w:lang w:val="en-US"/>
        </w:rPr>
        <w:t xml:space="preserve"> SSB0 on CC1, and that SSB3 on CC0 is equivalent to SSB1 on CC1. The UE could then measure all SSB beams during a short period of time.</w:t>
      </w:r>
    </w:p>
    <w:p w14:paraId="37EB5693" w14:textId="77777777" w:rsidR="00C01F33" w:rsidRPr="00CE0424" w:rsidRDefault="00C01F33" w:rsidP="00CE0424">
      <w:pPr>
        <w:pStyle w:val="Heading1"/>
      </w:pPr>
      <w:bookmarkStart w:id="71" w:name="_Hlk61857909"/>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End w:id="71"/>
    <w:p w14:paraId="33A59DA5" w14:textId="262160E5" w:rsidR="006619DC" w:rsidRDefault="006F65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1889338" w:history="1">
        <w:r w:rsidR="006619DC" w:rsidRPr="00F77681">
          <w:rPr>
            <w:rStyle w:val="Hyperlink"/>
            <w:noProof/>
            <w:lang w:val="en-GB"/>
          </w:rPr>
          <w:t>Observation 1</w:t>
        </w:r>
        <w:r w:rsidR="006619DC">
          <w:rPr>
            <w:rFonts w:asciiTheme="minorHAnsi" w:eastAsiaTheme="minorEastAsia" w:hAnsiTheme="minorHAnsi"/>
            <w:b w:val="0"/>
            <w:noProof/>
            <w:sz w:val="22"/>
            <w:lang w:val="sv-SE" w:eastAsia="sv-SE"/>
          </w:rPr>
          <w:tab/>
        </w:r>
        <w:r w:rsidR="006619DC" w:rsidRPr="00F77681">
          <w:rPr>
            <w:rStyle w:val="Hyperlink"/>
            <w:noProof/>
            <w:lang w:val="en-GB"/>
          </w:rPr>
          <w:t>In Rel.16, one RS in a TCI state can be used to determine the QCL properties for DL reception, the spatial filter for DL reception and the UL TX spatial filter.</w:t>
        </w:r>
      </w:hyperlink>
    </w:p>
    <w:p w14:paraId="739D9AC1" w14:textId="2EA44F38"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39" w:history="1">
        <w:r w:rsidR="006619DC" w:rsidRPr="00F77681">
          <w:rPr>
            <w:rStyle w:val="Hyperlink"/>
            <w:noProof/>
            <w:lang w:val="en-GB"/>
          </w:rPr>
          <w:t>Observation 2</w:t>
        </w:r>
        <w:r w:rsidR="006619DC">
          <w:rPr>
            <w:rFonts w:asciiTheme="minorHAnsi" w:eastAsiaTheme="minorEastAsia" w:hAnsiTheme="minorHAnsi"/>
            <w:b w:val="0"/>
            <w:noProof/>
            <w:sz w:val="22"/>
            <w:lang w:val="sv-SE" w:eastAsia="sv-SE"/>
          </w:rPr>
          <w:tab/>
        </w:r>
        <w:r w:rsidR="006619DC" w:rsidRPr="00F77681">
          <w:rPr>
            <w:rStyle w:val="Hyperlink"/>
            <w:noProof/>
            <w:lang w:val="en-GB"/>
          </w:rPr>
          <w:t>The target signal must be received with the same Rx beam as the RS used to derive QCL-TypeA or QCL-TypeC properties.</w:t>
        </w:r>
      </w:hyperlink>
    </w:p>
    <w:p w14:paraId="0046D9D3" w14:textId="755A8081"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40" w:history="1">
        <w:r w:rsidR="006619DC" w:rsidRPr="00F77681">
          <w:rPr>
            <w:rStyle w:val="Hyperlink"/>
            <w:noProof/>
          </w:rPr>
          <w:t>Observation 3</w:t>
        </w:r>
        <w:r w:rsidR="006619DC">
          <w:rPr>
            <w:rFonts w:asciiTheme="minorHAnsi" w:eastAsiaTheme="minorEastAsia" w:hAnsiTheme="minorHAnsi"/>
            <w:b w:val="0"/>
            <w:noProof/>
            <w:sz w:val="22"/>
            <w:lang w:val="sv-SE" w:eastAsia="sv-SE"/>
          </w:rPr>
          <w:tab/>
        </w:r>
        <w:r w:rsidR="006619DC" w:rsidRPr="00F77681">
          <w:rPr>
            <w:rStyle w:val="Hyperlink"/>
            <w:noProof/>
          </w:rPr>
          <w:t>If the TCI state is extended with optional parameters, the RRC signalling will grow, even if the optional parameters are not included in the signalling.</w:t>
        </w:r>
      </w:hyperlink>
    </w:p>
    <w:p w14:paraId="391F22EF" w14:textId="366545A6"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41" w:history="1">
        <w:r w:rsidR="006619DC" w:rsidRPr="00F77681">
          <w:rPr>
            <w:rStyle w:val="Hyperlink"/>
            <w:noProof/>
          </w:rPr>
          <w:t>Observation 4</w:t>
        </w:r>
        <w:r w:rsidR="006619DC">
          <w:rPr>
            <w:rFonts w:asciiTheme="minorHAnsi" w:eastAsiaTheme="minorEastAsia" w:hAnsiTheme="minorHAnsi"/>
            <w:b w:val="0"/>
            <w:noProof/>
            <w:sz w:val="22"/>
            <w:lang w:val="sv-SE" w:eastAsia="sv-SE"/>
          </w:rPr>
          <w:tab/>
        </w:r>
        <w:r w:rsidR="006619DC" w:rsidRPr="00F77681">
          <w:rPr>
            <w:rStyle w:val="Hyperlink"/>
            <w:noProof/>
          </w:rPr>
          <w:t>If the UL TCI states is taken from a separate pool of TCI states, the mapping between UE capability and RRC configuration is very straightforward.</w:t>
        </w:r>
      </w:hyperlink>
    </w:p>
    <w:p w14:paraId="7A8BF5E7" w14:textId="046FCC48"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42" w:history="1">
        <w:r w:rsidR="006619DC" w:rsidRPr="00F77681">
          <w:rPr>
            <w:rStyle w:val="Hyperlink"/>
            <w:noProof/>
          </w:rPr>
          <w:t>Observation 5</w:t>
        </w:r>
        <w:r w:rsidR="006619DC">
          <w:rPr>
            <w:rFonts w:asciiTheme="minorHAnsi" w:eastAsiaTheme="minorEastAsia" w:hAnsiTheme="minorHAnsi"/>
            <w:b w:val="0"/>
            <w:noProof/>
            <w:sz w:val="22"/>
            <w:lang w:val="sv-SE" w:eastAsia="sv-SE"/>
          </w:rPr>
          <w:tab/>
        </w:r>
        <w:r w:rsidR="006619DC" w:rsidRPr="00F77681">
          <w:rPr>
            <w:rStyle w:val="Hyperlink"/>
            <w:noProof/>
          </w:rPr>
          <w:t>Issues related to RRC configuration updates are up to RAN2, and discussions in RAN1 are unnecessary.</w:t>
        </w:r>
      </w:hyperlink>
    </w:p>
    <w:p w14:paraId="6665874B" w14:textId="2B02F1FB"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43" w:history="1">
        <w:r w:rsidR="006619DC" w:rsidRPr="00F77681">
          <w:rPr>
            <w:rStyle w:val="Hyperlink"/>
            <w:noProof/>
          </w:rPr>
          <w:t>Observation 6</w:t>
        </w:r>
        <w:r w:rsidR="006619DC">
          <w:rPr>
            <w:rFonts w:asciiTheme="minorHAnsi" w:eastAsiaTheme="minorEastAsia" w:hAnsiTheme="minorHAnsi"/>
            <w:b w:val="0"/>
            <w:noProof/>
            <w:sz w:val="22"/>
            <w:lang w:val="sv-SE" w:eastAsia="sv-SE"/>
          </w:rPr>
          <w:tab/>
        </w:r>
        <w:r w:rsidR="006619DC" w:rsidRPr="00F77681">
          <w:rPr>
            <w:rStyle w:val="Hyperlink"/>
            <w:noProof/>
          </w:rPr>
          <w:t>There is no RAN1 specification impact related to the inter-DU scenario.</w:t>
        </w:r>
      </w:hyperlink>
    </w:p>
    <w:p w14:paraId="60042322" w14:textId="352786F4"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44" w:history="1">
        <w:r w:rsidR="006619DC" w:rsidRPr="00F77681">
          <w:rPr>
            <w:rStyle w:val="Hyperlink"/>
            <w:noProof/>
          </w:rPr>
          <w:t>Observation 7</w:t>
        </w:r>
        <w:r w:rsidR="006619DC">
          <w:rPr>
            <w:rFonts w:asciiTheme="minorHAnsi" w:eastAsiaTheme="minorEastAsia" w:hAnsiTheme="minorHAnsi"/>
            <w:b w:val="0"/>
            <w:noProof/>
            <w:sz w:val="22"/>
            <w:lang w:val="sv-SE" w:eastAsia="sv-SE"/>
          </w:rPr>
          <w:tab/>
        </w:r>
        <w:r w:rsidR="006619DC" w:rsidRPr="00F77681">
          <w:rPr>
            <w:rStyle w:val="Hyperlink"/>
            <w:noProof/>
          </w:rPr>
          <w:t>Measurements on non-serving RSs and beam indication using non-serving RSs would lead to an operational solution, and additional RAN2 would lead to improved performance and wider deployment possibilities.</w:t>
        </w:r>
      </w:hyperlink>
    </w:p>
    <w:p w14:paraId="19C4B5DB" w14:textId="363AD30E"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45" w:history="1">
        <w:r w:rsidR="006619DC" w:rsidRPr="00F77681">
          <w:rPr>
            <w:rStyle w:val="Hyperlink"/>
            <w:noProof/>
          </w:rPr>
          <w:t>Observation 8</w:t>
        </w:r>
        <w:r w:rsidR="006619DC">
          <w:rPr>
            <w:rFonts w:asciiTheme="minorHAnsi" w:eastAsiaTheme="minorEastAsia" w:hAnsiTheme="minorHAnsi"/>
            <w:b w:val="0"/>
            <w:noProof/>
            <w:sz w:val="22"/>
            <w:lang w:val="sv-SE" w:eastAsia="sv-SE"/>
          </w:rPr>
          <w:tab/>
        </w:r>
        <w:r w:rsidR="006619DC" w:rsidRPr="00F77681">
          <w:rPr>
            <w:rStyle w:val="Hyperlink"/>
            <w:noProof/>
          </w:rPr>
          <w:t>Three-panels UEs with 4 antennas per panel have a good spherical coverage and different beams from different panels will have similar pathgain towards the same BS. So, it’s difficult to see the effect of panel blockage when the scheduler can switch the panel without a big pathloss</w:t>
        </w:r>
      </w:hyperlink>
    </w:p>
    <w:p w14:paraId="2A81589E" w14:textId="141CA652"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46" w:history="1">
        <w:r w:rsidR="006619DC" w:rsidRPr="00F77681">
          <w:rPr>
            <w:rStyle w:val="Hyperlink"/>
            <w:noProof/>
            <w:lang w:val="en-GB"/>
          </w:rPr>
          <w:t>Observation 9</w:t>
        </w:r>
        <w:r w:rsidR="006619DC">
          <w:rPr>
            <w:rFonts w:asciiTheme="minorHAnsi" w:eastAsiaTheme="minorEastAsia" w:hAnsiTheme="minorHAnsi"/>
            <w:b w:val="0"/>
            <w:noProof/>
            <w:sz w:val="22"/>
            <w:lang w:val="sv-SE" w:eastAsia="sv-SE"/>
          </w:rPr>
          <w:tab/>
        </w:r>
        <w:r w:rsidR="006619DC" w:rsidRPr="00F77681">
          <w:rPr>
            <w:rStyle w:val="Hyperlink"/>
            <w:noProof/>
            <w:lang w:val="en-GB"/>
          </w:rPr>
          <w:t>The definition of a separate UL TCI in conjunction with the associated scheduling mechanism provides the necessary means to facilitate fast panel selection in UL.</w:t>
        </w:r>
      </w:hyperlink>
    </w:p>
    <w:p w14:paraId="3F3178DE" w14:textId="7304AA09"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47" w:history="1">
        <w:r w:rsidR="006619DC" w:rsidRPr="00F77681">
          <w:rPr>
            <w:rStyle w:val="Hyperlink"/>
            <w:noProof/>
            <w:lang w:val="en-GB"/>
          </w:rPr>
          <w:t>Observation 10</w:t>
        </w:r>
        <w:r w:rsidR="006619DC">
          <w:rPr>
            <w:rFonts w:asciiTheme="minorHAnsi" w:eastAsiaTheme="minorEastAsia" w:hAnsiTheme="minorHAnsi"/>
            <w:b w:val="0"/>
            <w:noProof/>
            <w:sz w:val="22"/>
            <w:lang w:val="sv-SE" w:eastAsia="sv-SE"/>
          </w:rPr>
          <w:tab/>
        </w:r>
        <w:r w:rsidR="006619DC" w:rsidRPr="00F77681">
          <w:rPr>
            <w:rStyle w:val="Hyperlink"/>
            <w:noProof/>
            <w:lang w:val="en-GB"/>
          </w:rPr>
          <w:t>RAN4 and RAN2 have already specified a solution to report an MPE event.</w:t>
        </w:r>
      </w:hyperlink>
    </w:p>
    <w:p w14:paraId="67F6C3D3" w14:textId="27C7D67F"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48" w:history="1">
        <w:r w:rsidR="006619DC" w:rsidRPr="00F77681">
          <w:rPr>
            <w:rStyle w:val="Hyperlink"/>
            <w:noProof/>
            <w:lang w:val="en-GB"/>
          </w:rPr>
          <w:t>Observation 11</w:t>
        </w:r>
        <w:r w:rsidR="006619DC">
          <w:rPr>
            <w:rFonts w:asciiTheme="minorHAnsi" w:eastAsiaTheme="minorEastAsia" w:hAnsiTheme="minorHAnsi"/>
            <w:b w:val="0"/>
            <w:noProof/>
            <w:sz w:val="22"/>
            <w:lang w:val="sv-SE" w:eastAsia="sv-SE"/>
          </w:rPr>
          <w:tab/>
        </w:r>
        <w:r w:rsidR="006619DC" w:rsidRPr="00F77681">
          <w:rPr>
            <w:rStyle w:val="Hyperlink"/>
            <w:noProof/>
            <w:lang w:val="en-GB"/>
          </w:rPr>
          <w:t>In current specification, the activation delay dominates the beam management delay.</w:t>
        </w:r>
      </w:hyperlink>
    </w:p>
    <w:p w14:paraId="00C35411" w14:textId="1B29E403"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49" w:history="1">
        <w:r w:rsidR="006619DC" w:rsidRPr="00F77681">
          <w:rPr>
            <w:rStyle w:val="Hyperlink"/>
            <w:noProof/>
            <w:lang w:val="en-GB"/>
          </w:rPr>
          <w:t>Observation 12</w:t>
        </w:r>
        <w:r w:rsidR="006619DC">
          <w:rPr>
            <w:rFonts w:asciiTheme="minorHAnsi" w:eastAsiaTheme="minorEastAsia" w:hAnsiTheme="minorHAnsi"/>
            <w:b w:val="0"/>
            <w:noProof/>
            <w:sz w:val="22"/>
            <w:lang w:val="sv-SE" w:eastAsia="sv-SE"/>
          </w:rPr>
          <w:tab/>
        </w:r>
        <w:r w:rsidR="006619DC" w:rsidRPr="00F77681">
          <w:rPr>
            <w:rStyle w:val="Hyperlink"/>
            <w:noProof/>
            <w:lang w:val="en-GB"/>
          </w:rPr>
          <w:t>If the UE would store the QCL properties of the RSs on which it has performed beam management measurements, the activation delay could be avoided. It would be sufficient if the UE stored the QCL properties for a small number of RSs for a limited period of time.</w:t>
        </w:r>
      </w:hyperlink>
    </w:p>
    <w:p w14:paraId="6225A1B8" w14:textId="69E8BFD2" w:rsidR="006E1C82" w:rsidRPr="006619DC" w:rsidRDefault="006F6582" w:rsidP="006E1C82">
      <w:pPr>
        <w:pStyle w:val="BodyText"/>
        <w:rPr>
          <w:b/>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404B2559" w14:textId="77777777" w:rsidR="006619DC" w:rsidRDefault="006E1C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\n \h \z \t "Proposal" \c </w:instrText>
      </w:r>
      <w:r>
        <w:rPr>
          <w:b w:val="0"/>
          <w:bCs/>
        </w:rPr>
        <w:fldChar w:fldCharType="separate"/>
      </w:r>
      <w:hyperlink w:anchor="_Toc61889350" w:history="1">
        <w:r w:rsidR="006619DC" w:rsidRPr="001F4D92">
          <w:rPr>
            <w:rStyle w:val="Hyperlink"/>
            <w:noProof/>
            <w:lang w:val="en-GB"/>
          </w:rPr>
          <w:t>Proposal 1</w:t>
        </w:r>
        <w:r w:rsidR="006619DC">
          <w:rPr>
            <w:rFonts w:asciiTheme="minorHAnsi" w:eastAsiaTheme="minorEastAsia" w:hAnsiTheme="minorHAnsi"/>
            <w:b w:val="0"/>
            <w:noProof/>
            <w:sz w:val="22"/>
            <w:lang w:val="sv-SE" w:eastAsia="sv-SE"/>
          </w:rPr>
          <w:tab/>
        </w:r>
        <w:r w:rsidR="006619DC" w:rsidRPr="001F4D92">
          <w:rPr>
            <w:rStyle w:val="Hyperlink"/>
            <w:noProof/>
            <w:lang w:val="en-GB"/>
          </w:rPr>
          <w:t>The unified DL TCI state contains one or two RS each associated with a QCL Type, and the allowed combinations of (RS,QCL type) pairs are those defined in 38.214 for Rel-16.</w:t>
        </w:r>
      </w:hyperlink>
    </w:p>
    <w:p w14:paraId="1DE49A48"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51" w:history="1">
        <w:r w:rsidR="006619DC" w:rsidRPr="001F4D92">
          <w:rPr>
            <w:rStyle w:val="Hyperlink"/>
            <w:noProof/>
            <w:lang w:val="en-GB"/>
          </w:rPr>
          <w:t>Proposal 2</w:t>
        </w:r>
        <w:r w:rsidR="006619DC">
          <w:rPr>
            <w:rFonts w:asciiTheme="minorHAnsi" w:eastAsiaTheme="minorEastAsia" w:hAnsiTheme="minorHAnsi"/>
            <w:b w:val="0"/>
            <w:noProof/>
            <w:sz w:val="22"/>
            <w:lang w:val="sv-SE" w:eastAsia="sv-SE"/>
          </w:rPr>
          <w:tab/>
        </w:r>
        <w:r w:rsidR="006619DC" w:rsidRPr="001F4D92">
          <w:rPr>
            <w:rStyle w:val="Hyperlink"/>
            <w:noProof/>
            <w:lang w:val="en-GB"/>
          </w:rPr>
          <w:t>The UE may assume that the large scale channel properties of one target DL RS can be inferred from the one or two RSs in one DL TCI state.</w:t>
        </w:r>
      </w:hyperlink>
    </w:p>
    <w:p w14:paraId="65FF728D"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52" w:history="1">
        <w:r w:rsidR="006619DC" w:rsidRPr="001F4D92">
          <w:rPr>
            <w:rStyle w:val="Hyperlink"/>
            <w:noProof/>
            <w:lang w:val="en-GB"/>
          </w:rPr>
          <w:t>Proposal 3</w:t>
        </w:r>
        <w:r w:rsidR="006619DC">
          <w:rPr>
            <w:rFonts w:asciiTheme="minorHAnsi" w:eastAsiaTheme="minorEastAsia" w:hAnsiTheme="minorHAnsi"/>
            <w:b w:val="0"/>
            <w:noProof/>
            <w:sz w:val="22"/>
            <w:lang w:val="sv-SE" w:eastAsia="sv-SE"/>
          </w:rPr>
          <w:tab/>
        </w:r>
        <w:r w:rsidR="006619DC" w:rsidRPr="001F4D92">
          <w:rPr>
            <w:rStyle w:val="Hyperlink"/>
            <w:noProof/>
            <w:lang w:val="en-GB"/>
          </w:rPr>
          <w:t>The UE derives the UL spatial Tx filter for one channel/RS from one UL TCI state.</w:t>
        </w:r>
      </w:hyperlink>
    </w:p>
    <w:p w14:paraId="13DA867C"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53" w:history="1">
        <w:r w:rsidR="006619DC" w:rsidRPr="001F4D92">
          <w:rPr>
            <w:rStyle w:val="Hyperlink"/>
            <w:noProof/>
            <w:lang w:val="en-GB"/>
          </w:rPr>
          <w:t>Proposal 4</w:t>
        </w:r>
        <w:r w:rsidR="006619DC">
          <w:rPr>
            <w:rFonts w:asciiTheme="minorHAnsi" w:eastAsiaTheme="minorEastAsia" w:hAnsiTheme="minorHAnsi"/>
            <w:b w:val="0"/>
            <w:noProof/>
            <w:sz w:val="22"/>
            <w:lang w:val="sv-SE" w:eastAsia="sv-SE"/>
          </w:rPr>
          <w:tab/>
        </w:r>
        <w:r w:rsidR="006619DC" w:rsidRPr="001F4D92">
          <w:rPr>
            <w:rStyle w:val="Hyperlink"/>
            <w:noProof/>
            <w:lang w:val="en-GB"/>
          </w:rPr>
          <w:t>A UE can be configured either with unified TCI states or Rel-15/16 TCI states and spatial relations.</w:t>
        </w:r>
      </w:hyperlink>
    </w:p>
    <w:p w14:paraId="4165EECE"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54" w:history="1">
        <w:r w:rsidR="006619DC" w:rsidRPr="001F4D92">
          <w:rPr>
            <w:rStyle w:val="Hyperlink"/>
            <w:noProof/>
            <w:lang w:val="en-GB"/>
          </w:rPr>
          <w:t>Proposal 5</w:t>
        </w:r>
        <w:r w:rsidR="006619DC">
          <w:rPr>
            <w:rFonts w:asciiTheme="minorHAnsi" w:eastAsiaTheme="minorEastAsia" w:hAnsiTheme="minorHAnsi"/>
            <w:b w:val="0"/>
            <w:noProof/>
            <w:sz w:val="22"/>
            <w:lang w:val="sv-SE" w:eastAsia="sv-SE"/>
          </w:rPr>
          <w:tab/>
        </w:r>
        <w:r w:rsidR="006619DC" w:rsidRPr="001F4D92">
          <w:rPr>
            <w:rStyle w:val="Hyperlink"/>
            <w:noProof/>
            <w:lang w:val="en-GB"/>
          </w:rPr>
          <w:t>Common TCI is applicable to all types CSI-RSs, and to SRS for CB- and NCB-based transmission.</w:t>
        </w:r>
      </w:hyperlink>
    </w:p>
    <w:p w14:paraId="7E8731AB"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55" w:history="1">
        <w:r w:rsidR="006619DC" w:rsidRPr="001F4D92">
          <w:rPr>
            <w:rStyle w:val="Hyperlink"/>
            <w:noProof/>
            <w:lang w:val="en-GB"/>
          </w:rPr>
          <w:t>Proposal 6</w:t>
        </w:r>
        <w:r w:rsidR="006619DC">
          <w:rPr>
            <w:rFonts w:asciiTheme="minorHAnsi" w:eastAsiaTheme="minorEastAsia" w:hAnsiTheme="minorHAnsi"/>
            <w:b w:val="0"/>
            <w:noProof/>
            <w:sz w:val="22"/>
            <w:lang w:val="sv-SE" w:eastAsia="sv-SE"/>
          </w:rPr>
          <w:tab/>
        </w:r>
        <w:r w:rsidR="006619DC" w:rsidRPr="001F4D92">
          <w:rPr>
            <w:rStyle w:val="Hyperlink"/>
            <w:noProof/>
            <w:lang w:val="en-GB"/>
          </w:rPr>
          <w:t>SSB, CSI-RS for BM and TRS can be used as source RS in a DL TCI state.</w:t>
        </w:r>
      </w:hyperlink>
    </w:p>
    <w:p w14:paraId="23896F59"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56" w:history="1">
        <w:r w:rsidR="006619DC" w:rsidRPr="001F4D92">
          <w:rPr>
            <w:rStyle w:val="Hyperlink"/>
            <w:noProof/>
            <w:lang w:val="en-GB"/>
          </w:rPr>
          <w:t>Proposal 7</w:t>
        </w:r>
        <w:r w:rsidR="006619DC">
          <w:rPr>
            <w:rFonts w:asciiTheme="minorHAnsi" w:eastAsiaTheme="minorEastAsia" w:hAnsiTheme="minorHAnsi"/>
            <w:b w:val="0"/>
            <w:noProof/>
            <w:sz w:val="22"/>
            <w:lang w:val="sv-SE" w:eastAsia="sv-SE"/>
          </w:rPr>
          <w:tab/>
        </w:r>
        <w:r w:rsidR="006619DC" w:rsidRPr="001F4D92">
          <w:rPr>
            <w:rStyle w:val="Hyperlink"/>
            <w:noProof/>
            <w:lang w:val="en-GB"/>
          </w:rPr>
          <w:t>TRS can be used a source RS in an UL TCI state.</w:t>
        </w:r>
      </w:hyperlink>
    </w:p>
    <w:p w14:paraId="6A81777B"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57" w:history="1">
        <w:r w:rsidR="006619DC" w:rsidRPr="001F4D92">
          <w:rPr>
            <w:rStyle w:val="Hyperlink"/>
            <w:noProof/>
            <w:lang w:val="en-GB"/>
          </w:rPr>
          <w:t>Proposal 8</w:t>
        </w:r>
        <w:r w:rsidR="006619DC">
          <w:rPr>
            <w:rFonts w:asciiTheme="minorHAnsi" w:eastAsiaTheme="minorEastAsia" w:hAnsiTheme="minorHAnsi"/>
            <w:b w:val="0"/>
            <w:noProof/>
            <w:sz w:val="22"/>
            <w:lang w:val="sv-SE" w:eastAsia="sv-SE"/>
          </w:rPr>
          <w:tab/>
        </w:r>
        <w:r w:rsidR="006619DC" w:rsidRPr="001F4D92">
          <w:rPr>
            <w:rStyle w:val="Hyperlink"/>
            <w:noProof/>
            <w:lang w:val="en-GB"/>
          </w:rPr>
          <w:t>SRS for beam management cannot be configured as a source RS to represent a DL RX spatial filter.</w:t>
        </w:r>
      </w:hyperlink>
    </w:p>
    <w:p w14:paraId="03D194D6"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58" w:history="1">
        <w:r w:rsidR="006619DC" w:rsidRPr="001F4D92">
          <w:rPr>
            <w:rStyle w:val="Hyperlink"/>
            <w:noProof/>
            <w:lang w:val="en-GB"/>
          </w:rPr>
          <w:t>Proposal 9</w:t>
        </w:r>
        <w:r w:rsidR="006619DC">
          <w:rPr>
            <w:rFonts w:asciiTheme="minorHAnsi" w:eastAsiaTheme="minorEastAsia" w:hAnsiTheme="minorHAnsi"/>
            <w:b w:val="0"/>
            <w:noProof/>
            <w:sz w:val="22"/>
            <w:lang w:val="sv-SE" w:eastAsia="sv-SE"/>
          </w:rPr>
          <w:tab/>
        </w:r>
        <w:r w:rsidR="006619DC" w:rsidRPr="001F4D92">
          <w:rPr>
            <w:rStyle w:val="Hyperlink"/>
            <w:noProof/>
            <w:lang w:val="en-GB"/>
          </w:rPr>
          <w:t>The UL TCI state is taken from another pool of TCI states than the DL TCI state.</w:t>
        </w:r>
      </w:hyperlink>
    </w:p>
    <w:p w14:paraId="1A477F7B"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59" w:history="1">
        <w:r w:rsidR="006619DC" w:rsidRPr="001F4D92">
          <w:rPr>
            <w:rStyle w:val="Hyperlink"/>
            <w:noProof/>
            <w:lang w:val="en-GB"/>
          </w:rPr>
          <w:t>Proposal 10</w:t>
        </w:r>
        <w:r w:rsidR="006619DC">
          <w:rPr>
            <w:rFonts w:asciiTheme="minorHAnsi" w:eastAsiaTheme="minorEastAsia" w:hAnsiTheme="minorHAnsi"/>
            <w:b w:val="0"/>
            <w:noProof/>
            <w:sz w:val="22"/>
            <w:lang w:val="sv-SE" w:eastAsia="sv-SE"/>
          </w:rPr>
          <w:tab/>
        </w:r>
        <w:r w:rsidR="006619DC" w:rsidRPr="001F4D92">
          <w:rPr>
            <w:rStyle w:val="Hyperlink"/>
            <w:noProof/>
            <w:lang w:val="en-GB"/>
          </w:rPr>
          <w:t>Send an LS to RAN4 describing that RAN1 is considering faster beam updates, and explain that one-shot timing adjustment would constitute a very important building block in that work.</w:t>
        </w:r>
      </w:hyperlink>
    </w:p>
    <w:p w14:paraId="43F24BD4"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60" w:history="1">
        <w:r w:rsidR="006619DC" w:rsidRPr="001F4D92">
          <w:rPr>
            <w:rStyle w:val="Hyperlink"/>
            <w:noProof/>
            <w:lang w:val="en-GB"/>
          </w:rPr>
          <w:t>Proposal 11</w:t>
        </w:r>
        <w:r w:rsidR="006619DC">
          <w:rPr>
            <w:rFonts w:asciiTheme="minorHAnsi" w:eastAsiaTheme="minorEastAsia" w:hAnsiTheme="minorHAnsi"/>
            <w:b w:val="0"/>
            <w:noProof/>
            <w:sz w:val="22"/>
            <w:lang w:val="sv-SE" w:eastAsia="sv-SE"/>
          </w:rPr>
          <w:tab/>
        </w:r>
        <w:r w:rsidR="006619DC" w:rsidRPr="001F4D92">
          <w:rPr>
            <w:rStyle w:val="Hyperlink"/>
            <w:noProof/>
            <w:lang w:val="en-GB"/>
          </w:rPr>
          <w:t>When the RS in the UL TCI state is a DL, the UE uses that RS as PL RS, and when the RS in the UL TCI is an UL RS, a separate PL RS is included in the UL TCI state.</w:t>
        </w:r>
      </w:hyperlink>
    </w:p>
    <w:p w14:paraId="4153DC0E"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61" w:history="1">
        <w:r w:rsidR="006619DC" w:rsidRPr="001F4D92">
          <w:rPr>
            <w:rStyle w:val="Hyperlink"/>
            <w:noProof/>
            <w:lang w:val="en-GB"/>
          </w:rPr>
          <w:t>Proposal 12</w:t>
        </w:r>
        <w:r w:rsidR="006619DC">
          <w:rPr>
            <w:rFonts w:asciiTheme="minorHAnsi" w:eastAsiaTheme="minorEastAsia" w:hAnsiTheme="minorHAnsi"/>
            <w:b w:val="0"/>
            <w:noProof/>
            <w:sz w:val="22"/>
            <w:lang w:val="sv-SE" w:eastAsia="sv-SE"/>
          </w:rPr>
          <w:tab/>
        </w:r>
        <w:r w:rsidR="006619DC" w:rsidRPr="001F4D92">
          <w:rPr>
            <w:rStyle w:val="Hyperlink"/>
            <w:noProof/>
            <w:lang w:val="en-GB"/>
          </w:rPr>
          <w:t>Power control parameters other than the PL RS are not associated with the UL TCI.</w:t>
        </w:r>
      </w:hyperlink>
    </w:p>
    <w:p w14:paraId="492DEF56"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62" w:history="1">
        <w:r w:rsidR="006619DC" w:rsidRPr="001F4D92">
          <w:rPr>
            <w:rStyle w:val="Hyperlink"/>
            <w:noProof/>
          </w:rPr>
          <w:t>Proposal 13</w:t>
        </w:r>
        <w:r w:rsidR="006619DC">
          <w:rPr>
            <w:rFonts w:asciiTheme="minorHAnsi" w:eastAsiaTheme="minorEastAsia" w:hAnsiTheme="minorHAnsi"/>
            <w:b w:val="0"/>
            <w:noProof/>
            <w:sz w:val="22"/>
            <w:lang w:val="sv-SE" w:eastAsia="sv-SE"/>
          </w:rPr>
          <w:tab/>
        </w:r>
        <w:r w:rsidR="006619DC" w:rsidRPr="001F4D92">
          <w:rPr>
            <w:rStyle w:val="Hyperlink"/>
            <w:noProof/>
          </w:rPr>
          <w:t>Non-serving cell information includes PCI of the non-serving cell.</w:t>
        </w:r>
      </w:hyperlink>
    </w:p>
    <w:p w14:paraId="02437F74"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63" w:history="1">
        <w:r w:rsidR="006619DC" w:rsidRPr="001F4D92">
          <w:rPr>
            <w:rStyle w:val="Hyperlink"/>
            <w:noProof/>
          </w:rPr>
          <w:t>Proposal 14</w:t>
        </w:r>
        <w:r w:rsidR="006619DC">
          <w:rPr>
            <w:rFonts w:asciiTheme="minorHAnsi" w:eastAsiaTheme="minorEastAsia" w:hAnsiTheme="minorHAnsi"/>
            <w:b w:val="0"/>
            <w:noProof/>
            <w:sz w:val="22"/>
            <w:lang w:val="sv-SE" w:eastAsia="sv-SE"/>
          </w:rPr>
          <w:tab/>
        </w:r>
        <w:r w:rsidR="006619DC" w:rsidRPr="001F4D92">
          <w:rPr>
            <w:rStyle w:val="Hyperlink"/>
            <w:noProof/>
          </w:rPr>
          <w:t>Further consider if SSB periodicity and/or ssb-PositionsInBurst should be included in the non-serving cell information that is incorporated in the TCI state.</w:t>
        </w:r>
      </w:hyperlink>
    </w:p>
    <w:p w14:paraId="727D2402"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64" w:history="1">
        <w:r w:rsidR="006619DC" w:rsidRPr="001F4D92">
          <w:rPr>
            <w:rStyle w:val="Hyperlink"/>
            <w:noProof/>
          </w:rPr>
          <w:t>Proposal 15</w:t>
        </w:r>
        <w:r w:rsidR="006619DC">
          <w:rPr>
            <w:rFonts w:asciiTheme="minorHAnsi" w:eastAsiaTheme="minorEastAsia" w:hAnsiTheme="minorHAnsi"/>
            <w:b w:val="0"/>
            <w:noProof/>
            <w:sz w:val="22"/>
            <w:lang w:val="sv-SE" w:eastAsia="sv-SE"/>
          </w:rPr>
          <w:tab/>
        </w:r>
        <w:r w:rsidR="006619DC" w:rsidRPr="001F4D92">
          <w:rPr>
            <w:rStyle w:val="Hyperlink"/>
            <w:noProof/>
          </w:rPr>
          <w:t>How to incorporate the non-serving cell information in a TCI state is left to RAN2.</w:t>
        </w:r>
      </w:hyperlink>
    </w:p>
    <w:p w14:paraId="45DB5AA3"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65" w:history="1">
        <w:r w:rsidR="006619DC" w:rsidRPr="001F4D92">
          <w:rPr>
            <w:rStyle w:val="Hyperlink"/>
            <w:noProof/>
          </w:rPr>
          <w:t>Proposal 16</w:t>
        </w:r>
        <w:r w:rsidR="006619DC">
          <w:rPr>
            <w:rFonts w:asciiTheme="minorHAnsi" w:eastAsiaTheme="minorEastAsia" w:hAnsiTheme="minorHAnsi"/>
            <w:b w:val="0"/>
            <w:noProof/>
            <w:sz w:val="22"/>
            <w:lang w:val="sv-SE" w:eastAsia="sv-SE"/>
          </w:rPr>
          <w:tab/>
        </w:r>
        <w:r w:rsidR="006619DC" w:rsidRPr="001F4D92">
          <w:rPr>
            <w:rStyle w:val="Hyperlink"/>
            <w:noProof/>
          </w:rPr>
          <w:t>The configuration details for a non-serving cell SSB includes PCI.</w:t>
        </w:r>
      </w:hyperlink>
    </w:p>
    <w:p w14:paraId="0B30FE01"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66" w:history="1">
        <w:r w:rsidR="006619DC" w:rsidRPr="001F4D92">
          <w:rPr>
            <w:rStyle w:val="Hyperlink"/>
            <w:noProof/>
          </w:rPr>
          <w:t>Proposal 17</w:t>
        </w:r>
        <w:r w:rsidR="006619DC">
          <w:rPr>
            <w:rFonts w:asciiTheme="minorHAnsi" w:eastAsiaTheme="minorEastAsia" w:hAnsiTheme="minorHAnsi"/>
            <w:b w:val="0"/>
            <w:noProof/>
            <w:sz w:val="22"/>
            <w:lang w:val="sv-SE" w:eastAsia="sv-SE"/>
          </w:rPr>
          <w:tab/>
        </w:r>
        <w:r w:rsidR="006619DC" w:rsidRPr="001F4D92">
          <w:rPr>
            <w:rStyle w:val="Hyperlink"/>
            <w:noProof/>
          </w:rPr>
          <w:t>Further consider if SSB periodicity and/or ssb-PositionsInBurst are part of the non-serving cell SSB configuration.</w:t>
        </w:r>
      </w:hyperlink>
    </w:p>
    <w:p w14:paraId="718D1738"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67" w:history="1">
        <w:r w:rsidR="006619DC" w:rsidRPr="001F4D92">
          <w:rPr>
            <w:rStyle w:val="Hyperlink"/>
            <w:noProof/>
          </w:rPr>
          <w:t>Proposal 18</w:t>
        </w:r>
        <w:r w:rsidR="006619DC">
          <w:rPr>
            <w:rFonts w:asciiTheme="minorHAnsi" w:eastAsiaTheme="minorEastAsia" w:hAnsiTheme="minorHAnsi"/>
            <w:b w:val="0"/>
            <w:noProof/>
            <w:sz w:val="22"/>
            <w:lang w:val="sv-SE" w:eastAsia="sv-SE"/>
          </w:rPr>
          <w:tab/>
        </w:r>
        <w:r w:rsidR="006619DC" w:rsidRPr="001F4D92">
          <w:rPr>
            <w:rStyle w:val="Hyperlink"/>
            <w:noProof/>
          </w:rPr>
          <w:t>Support beam indication for TCI(s) associated with non-serving cell RS(s), i.e., allow a TCI state associated with a non-serving RS to act as a QCL source for PDCCH DMRS and PDSCH DMRS, and as a reference to determine the spatial Tx filter for PUSCH, PUCCH and SRS.</w:t>
        </w:r>
      </w:hyperlink>
    </w:p>
    <w:p w14:paraId="4CC0BBA6"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68" w:history="1">
        <w:r w:rsidR="006619DC" w:rsidRPr="001F4D92">
          <w:rPr>
            <w:rStyle w:val="Hyperlink"/>
            <w:noProof/>
          </w:rPr>
          <w:t>Proposal 19</w:t>
        </w:r>
        <w:r w:rsidR="006619DC">
          <w:rPr>
            <w:rFonts w:asciiTheme="minorHAnsi" w:eastAsiaTheme="minorEastAsia" w:hAnsiTheme="minorHAnsi"/>
            <w:b w:val="0"/>
            <w:noProof/>
            <w:sz w:val="22"/>
            <w:lang w:val="sv-SE" w:eastAsia="sv-SE"/>
          </w:rPr>
          <w:tab/>
        </w:r>
        <w:r w:rsidR="006619DC" w:rsidRPr="001F4D92">
          <w:rPr>
            <w:rStyle w:val="Hyperlink"/>
            <w:noProof/>
          </w:rPr>
          <w:t xml:space="preserve">Define the </w:t>
        </w:r>
        <w:r w:rsidR="006619DC" w:rsidRPr="001F4D92">
          <w:rPr>
            <w:rStyle w:val="Hyperlink"/>
            <w:i/>
            <w:noProof/>
          </w:rPr>
          <w:t xml:space="preserve">CSI-SSB-ResourceSet </w:t>
        </w:r>
        <w:r w:rsidR="006619DC" w:rsidRPr="001F4D92">
          <w:rPr>
            <w:rStyle w:val="Hyperlink"/>
            <w:noProof/>
          </w:rPr>
          <w:t>so that one report can contain measurements from different cells.</w:t>
        </w:r>
      </w:hyperlink>
    </w:p>
    <w:p w14:paraId="18EBB655"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69" w:history="1">
        <w:r w:rsidR="006619DC" w:rsidRPr="001F4D92">
          <w:rPr>
            <w:rStyle w:val="Hyperlink"/>
            <w:noProof/>
          </w:rPr>
          <w:t>Proposal 20</w:t>
        </w:r>
        <w:r w:rsidR="006619DC">
          <w:rPr>
            <w:rFonts w:asciiTheme="minorHAnsi" w:eastAsiaTheme="minorEastAsia" w:hAnsiTheme="minorHAnsi"/>
            <w:b w:val="0"/>
            <w:noProof/>
            <w:sz w:val="22"/>
            <w:lang w:val="sv-SE" w:eastAsia="sv-SE"/>
          </w:rPr>
          <w:tab/>
        </w:r>
        <w:r w:rsidR="006619DC" w:rsidRPr="001F4D92">
          <w:rPr>
            <w:rStyle w:val="Hyperlink"/>
            <w:noProof/>
          </w:rPr>
          <w:t>Do not support inter-frequency scenarios for L1/L2-centric mobility.</w:t>
        </w:r>
      </w:hyperlink>
    </w:p>
    <w:p w14:paraId="25BEAB5B"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70" w:history="1">
        <w:r w:rsidR="006619DC" w:rsidRPr="001F4D92">
          <w:rPr>
            <w:rStyle w:val="Hyperlink"/>
            <w:noProof/>
          </w:rPr>
          <w:t>Proposal 21</w:t>
        </w:r>
        <w:r w:rsidR="006619DC">
          <w:rPr>
            <w:rFonts w:asciiTheme="minorHAnsi" w:eastAsiaTheme="minorEastAsia" w:hAnsiTheme="minorHAnsi"/>
            <w:b w:val="0"/>
            <w:noProof/>
            <w:sz w:val="22"/>
            <w:lang w:val="sv-SE" w:eastAsia="sv-SE"/>
          </w:rPr>
          <w:tab/>
        </w:r>
        <w:r w:rsidR="006619DC" w:rsidRPr="001F4D92">
          <w:rPr>
            <w:rStyle w:val="Hyperlink"/>
            <w:noProof/>
          </w:rPr>
          <w:t>No further discussions in RAN1 on issues related to RRC configurations associated with L1/L2-centric inter-cell mobility.</w:t>
        </w:r>
      </w:hyperlink>
    </w:p>
    <w:p w14:paraId="1EC078AF"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71" w:history="1">
        <w:r w:rsidR="006619DC" w:rsidRPr="001F4D92">
          <w:rPr>
            <w:rStyle w:val="Hyperlink"/>
            <w:noProof/>
          </w:rPr>
          <w:t>Proposal 22</w:t>
        </w:r>
        <w:r w:rsidR="006619DC">
          <w:rPr>
            <w:rFonts w:asciiTheme="minorHAnsi" w:eastAsiaTheme="minorEastAsia" w:hAnsiTheme="minorHAnsi"/>
            <w:b w:val="0"/>
            <w:noProof/>
            <w:sz w:val="22"/>
            <w:lang w:val="sv-SE" w:eastAsia="sv-SE"/>
          </w:rPr>
          <w:tab/>
        </w:r>
        <w:r w:rsidR="006619DC" w:rsidRPr="001F4D92">
          <w:rPr>
            <w:rStyle w:val="Hyperlink"/>
            <w:noProof/>
          </w:rPr>
          <w:t>Include issues related to RRC configurations associated with L1/L2-centric inter-cell mobility in a future LS to RAN2.</w:t>
        </w:r>
      </w:hyperlink>
    </w:p>
    <w:p w14:paraId="58E29502"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72" w:history="1">
        <w:r w:rsidR="006619DC" w:rsidRPr="001F4D92">
          <w:rPr>
            <w:rStyle w:val="Hyperlink"/>
            <w:noProof/>
          </w:rPr>
          <w:t>Proposal 23</w:t>
        </w:r>
        <w:r w:rsidR="006619DC">
          <w:rPr>
            <w:rFonts w:asciiTheme="minorHAnsi" w:eastAsiaTheme="minorEastAsia" w:hAnsiTheme="minorHAnsi"/>
            <w:b w:val="0"/>
            <w:noProof/>
            <w:sz w:val="22"/>
            <w:lang w:val="sv-SE" w:eastAsia="sv-SE"/>
          </w:rPr>
          <w:tab/>
        </w:r>
        <w:r w:rsidR="006619DC" w:rsidRPr="001F4D92">
          <w:rPr>
            <w:rStyle w:val="Hyperlink"/>
            <w:noProof/>
          </w:rPr>
          <w:t>Reuse the transmission configuration indicator field in DCI formats 1_1 and 1_2 for beam indication signaling for unified TCI.</w:t>
        </w:r>
      </w:hyperlink>
    </w:p>
    <w:p w14:paraId="077B59DA"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73" w:history="1">
        <w:r w:rsidR="006619DC" w:rsidRPr="001F4D92">
          <w:rPr>
            <w:rStyle w:val="Hyperlink"/>
            <w:noProof/>
          </w:rPr>
          <w:t>Proposal 24</w:t>
        </w:r>
        <w:r w:rsidR="006619DC">
          <w:rPr>
            <w:rFonts w:asciiTheme="minorHAnsi" w:eastAsiaTheme="minorEastAsia" w:hAnsiTheme="minorHAnsi"/>
            <w:b w:val="0"/>
            <w:noProof/>
            <w:sz w:val="22"/>
            <w:lang w:val="sv-SE" w:eastAsia="sv-SE"/>
          </w:rPr>
          <w:tab/>
        </w:r>
        <w:r w:rsidR="006619DC" w:rsidRPr="001F4D92">
          <w:rPr>
            <w:rStyle w:val="Hyperlink"/>
            <w:noProof/>
          </w:rPr>
          <w:t>For joint UL/DL TCI, the DCI code point indicates one TCI state that was previously activated by MAC CE.</w:t>
        </w:r>
      </w:hyperlink>
    </w:p>
    <w:p w14:paraId="2232B7CB"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74" w:history="1">
        <w:r w:rsidR="006619DC" w:rsidRPr="001F4D92">
          <w:rPr>
            <w:rStyle w:val="Hyperlink"/>
            <w:noProof/>
          </w:rPr>
          <w:t>Proposal 25</w:t>
        </w:r>
        <w:r w:rsidR="006619DC">
          <w:rPr>
            <w:rFonts w:asciiTheme="minorHAnsi" w:eastAsiaTheme="minorEastAsia" w:hAnsiTheme="minorHAnsi"/>
            <w:b w:val="0"/>
            <w:noProof/>
            <w:sz w:val="22"/>
            <w:lang w:val="sv-SE" w:eastAsia="sv-SE"/>
          </w:rPr>
          <w:tab/>
        </w:r>
        <w:r w:rsidR="006619DC" w:rsidRPr="001F4D92">
          <w:rPr>
            <w:rStyle w:val="Hyperlink"/>
            <w:noProof/>
          </w:rPr>
          <w:t>Do not introduce another acknowledgement for the beam indication carried by DCI formats 1_1 and 1_2.</w:t>
        </w:r>
      </w:hyperlink>
    </w:p>
    <w:p w14:paraId="0EC1B80C"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75" w:history="1">
        <w:r w:rsidR="006619DC" w:rsidRPr="001F4D92">
          <w:rPr>
            <w:rStyle w:val="Hyperlink"/>
            <w:noProof/>
          </w:rPr>
          <w:t>Proposal 26</w:t>
        </w:r>
        <w:r w:rsidR="006619DC">
          <w:rPr>
            <w:rFonts w:asciiTheme="minorHAnsi" w:eastAsiaTheme="minorEastAsia" w:hAnsiTheme="minorHAnsi"/>
            <w:b w:val="0"/>
            <w:noProof/>
            <w:sz w:val="22"/>
            <w:lang w:val="sv-SE" w:eastAsia="sv-SE"/>
          </w:rPr>
          <w:tab/>
        </w:r>
        <w:r w:rsidR="006619DC" w:rsidRPr="001F4D92">
          <w:rPr>
            <w:rStyle w:val="Hyperlink"/>
            <w:noProof/>
          </w:rPr>
          <w:t>Do not introduce one additional DCI format for UL-only beam indication.</w:t>
        </w:r>
      </w:hyperlink>
    </w:p>
    <w:p w14:paraId="38BE5AE8"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76" w:history="1">
        <w:r w:rsidR="006619DC" w:rsidRPr="001F4D92">
          <w:rPr>
            <w:rStyle w:val="Hyperlink"/>
            <w:noProof/>
          </w:rPr>
          <w:t>Proposal 27</w:t>
        </w:r>
        <w:r w:rsidR="006619DC">
          <w:rPr>
            <w:rFonts w:asciiTheme="minorHAnsi" w:eastAsiaTheme="minorEastAsia" w:hAnsiTheme="minorHAnsi"/>
            <w:b w:val="0"/>
            <w:noProof/>
            <w:sz w:val="22"/>
            <w:lang w:val="sv-SE" w:eastAsia="sv-SE"/>
          </w:rPr>
          <w:tab/>
        </w:r>
        <w:r w:rsidR="006619DC" w:rsidRPr="001F4D92">
          <w:rPr>
            <w:rStyle w:val="Hyperlink"/>
            <w:noProof/>
          </w:rPr>
          <w:t>To support separate DL/UL TCI states, MAC CE will activate pairs of TCI states, where the first TCI state in the pair would be the DL TCI state, and the second TCI state would be the UL TCI state.</w:t>
        </w:r>
      </w:hyperlink>
    </w:p>
    <w:p w14:paraId="79B2591C"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77" w:history="1">
        <w:r w:rsidR="006619DC" w:rsidRPr="001F4D92">
          <w:rPr>
            <w:rStyle w:val="Hyperlink"/>
            <w:noProof/>
          </w:rPr>
          <w:t>Proposal 28</w:t>
        </w:r>
        <w:r w:rsidR="006619DC">
          <w:rPr>
            <w:rFonts w:asciiTheme="minorHAnsi" w:eastAsiaTheme="minorEastAsia" w:hAnsiTheme="minorHAnsi"/>
            <w:b w:val="0"/>
            <w:noProof/>
            <w:sz w:val="22"/>
            <w:lang w:val="sv-SE" w:eastAsia="sv-SE"/>
          </w:rPr>
          <w:tab/>
        </w:r>
        <w:r w:rsidR="006619DC" w:rsidRPr="001F4D92">
          <w:rPr>
            <w:rStyle w:val="Hyperlink"/>
            <w:noProof/>
          </w:rPr>
          <w:t>A DCI code point indicating a pair of TCI states would activate one DL TCI state and one UL TCI state.</w:t>
        </w:r>
      </w:hyperlink>
    </w:p>
    <w:p w14:paraId="4A11776A"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78" w:history="1">
        <w:r w:rsidR="006619DC" w:rsidRPr="001F4D92">
          <w:rPr>
            <w:rStyle w:val="Hyperlink"/>
            <w:noProof/>
          </w:rPr>
          <w:t>Proposal 29</w:t>
        </w:r>
        <w:r w:rsidR="006619DC">
          <w:rPr>
            <w:rFonts w:asciiTheme="minorHAnsi" w:eastAsiaTheme="minorEastAsia" w:hAnsiTheme="minorHAnsi"/>
            <w:b w:val="0"/>
            <w:noProof/>
            <w:sz w:val="22"/>
            <w:lang w:val="sv-SE" w:eastAsia="sv-SE"/>
          </w:rPr>
          <w:tab/>
        </w:r>
        <w:r w:rsidR="006619DC" w:rsidRPr="001F4D92">
          <w:rPr>
            <w:rStyle w:val="Hyperlink"/>
            <w:noProof/>
          </w:rPr>
          <w:t>The new beam is applied in the first slot that is at least X ms or Y symbols after the DCI with the joint or separate DL/UL beam indication, i.e., Alt 1.</w:t>
        </w:r>
      </w:hyperlink>
    </w:p>
    <w:p w14:paraId="1B1EFB3F"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79" w:history="1">
        <w:r w:rsidR="006619DC" w:rsidRPr="001F4D92">
          <w:rPr>
            <w:rStyle w:val="Hyperlink"/>
            <w:noProof/>
          </w:rPr>
          <w:t>Proposal 30</w:t>
        </w:r>
        <w:r w:rsidR="006619DC">
          <w:rPr>
            <w:rFonts w:asciiTheme="minorHAnsi" w:eastAsiaTheme="minorEastAsia" w:hAnsiTheme="minorHAnsi"/>
            <w:b w:val="0"/>
            <w:noProof/>
            <w:sz w:val="22"/>
            <w:lang w:val="sv-SE" w:eastAsia="sv-SE"/>
          </w:rPr>
          <w:tab/>
        </w:r>
        <w:r w:rsidR="006619DC" w:rsidRPr="001F4D92">
          <w:rPr>
            <w:rStyle w:val="Hyperlink"/>
            <w:noProof/>
          </w:rPr>
          <w:t>The beam application time can be configured by the gNB based on a new UE capability.</w:t>
        </w:r>
      </w:hyperlink>
    </w:p>
    <w:p w14:paraId="0E995C48"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80" w:history="1">
        <w:r w:rsidR="006619DC" w:rsidRPr="001F4D92">
          <w:rPr>
            <w:rStyle w:val="Hyperlink"/>
            <w:noProof/>
            <w:lang w:val="en-GB"/>
          </w:rPr>
          <w:t>Proposal 31</w:t>
        </w:r>
        <w:r w:rsidR="006619DC">
          <w:rPr>
            <w:rFonts w:asciiTheme="minorHAnsi" w:eastAsiaTheme="minorEastAsia" w:hAnsiTheme="minorHAnsi"/>
            <w:b w:val="0"/>
            <w:noProof/>
            <w:sz w:val="22"/>
            <w:lang w:val="sv-SE" w:eastAsia="sv-SE"/>
          </w:rPr>
          <w:tab/>
        </w:r>
        <w:r w:rsidR="006619DC" w:rsidRPr="001F4D92">
          <w:rPr>
            <w:rStyle w:val="Hyperlink"/>
            <w:noProof/>
            <w:lang w:val="en-GB"/>
          </w:rPr>
          <w:t xml:space="preserve">After a small delay, the UE must be prepared to </w:t>
        </w:r>
        <w:r w:rsidR="006619DC" w:rsidRPr="001F4D92">
          <w:rPr>
            <w:rStyle w:val="Hyperlink"/>
            <w:noProof/>
            <w:lang w:val="en-GB" w:eastAsia="ja-JP"/>
          </w:rPr>
          <w:t xml:space="preserve">receive on a panel corresponding to an </w:t>
        </w:r>
        <w:r w:rsidR="006619DC" w:rsidRPr="001F4D92">
          <w:rPr>
            <w:rStyle w:val="Hyperlink"/>
            <w:i/>
            <w:iCs/>
            <w:noProof/>
            <w:lang w:val="en-GB" w:eastAsia="ja-JP"/>
          </w:rPr>
          <w:t>activated DL TCI state</w:t>
        </w:r>
        <w:r w:rsidR="006619DC" w:rsidRPr="001F4D92">
          <w:rPr>
            <w:rStyle w:val="Hyperlink"/>
            <w:noProof/>
            <w:lang w:val="en-GB" w:eastAsia="ja-JP"/>
          </w:rPr>
          <w:t xml:space="preserve">, and must be prepared to transmit on a panel corresponding to an </w:t>
        </w:r>
        <w:r w:rsidR="006619DC" w:rsidRPr="001F4D92">
          <w:rPr>
            <w:rStyle w:val="Hyperlink"/>
            <w:i/>
            <w:iCs/>
            <w:noProof/>
            <w:lang w:val="en-GB" w:eastAsia="ja-JP"/>
          </w:rPr>
          <w:t>activated UL TCI state</w:t>
        </w:r>
        <w:r w:rsidR="006619DC" w:rsidRPr="001F4D92">
          <w:rPr>
            <w:rStyle w:val="Hyperlink"/>
            <w:noProof/>
            <w:lang w:val="en-GB" w:eastAsia="ja-JP"/>
          </w:rPr>
          <w:t>.</w:t>
        </w:r>
      </w:hyperlink>
    </w:p>
    <w:p w14:paraId="2C75F912"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81" w:history="1">
        <w:r w:rsidR="006619DC" w:rsidRPr="001F4D92">
          <w:rPr>
            <w:rStyle w:val="Hyperlink"/>
            <w:noProof/>
            <w:lang w:val="en-GB"/>
          </w:rPr>
          <w:t>Proposal 32</w:t>
        </w:r>
        <w:r w:rsidR="006619DC">
          <w:rPr>
            <w:rFonts w:asciiTheme="minorHAnsi" w:eastAsiaTheme="minorEastAsia" w:hAnsiTheme="minorHAnsi"/>
            <w:b w:val="0"/>
            <w:noProof/>
            <w:sz w:val="22"/>
            <w:lang w:val="sv-SE" w:eastAsia="sv-SE"/>
          </w:rPr>
          <w:tab/>
        </w:r>
        <w:r w:rsidR="006619DC" w:rsidRPr="001F4D92">
          <w:rPr>
            <w:rStyle w:val="Hyperlink"/>
            <w:noProof/>
            <w:lang w:val="en-GB"/>
          </w:rPr>
          <w:t>Do not specify an additional solution to report an MPE event.</w:t>
        </w:r>
      </w:hyperlink>
    </w:p>
    <w:p w14:paraId="44E0E2E2"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82" w:history="1">
        <w:r w:rsidR="006619DC" w:rsidRPr="001F4D92">
          <w:rPr>
            <w:rStyle w:val="Hyperlink"/>
            <w:noProof/>
            <w:lang w:val="en-GB"/>
          </w:rPr>
          <w:t>Proposal 33</w:t>
        </w:r>
        <w:r w:rsidR="006619DC">
          <w:rPr>
            <w:rFonts w:asciiTheme="minorHAnsi" w:eastAsiaTheme="minorEastAsia" w:hAnsiTheme="minorHAnsi"/>
            <w:b w:val="0"/>
            <w:noProof/>
            <w:sz w:val="22"/>
            <w:lang w:val="sv-SE" w:eastAsia="sv-SE"/>
          </w:rPr>
          <w:tab/>
        </w:r>
        <w:r w:rsidR="006619DC" w:rsidRPr="001F4D92">
          <w:rPr>
            <w:rStyle w:val="Hyperlink"/>
            <w:noProof/>
            <w:lang w:val="en-GB"/>
          </w:rPr>
          <w:t>Support Alt.1 where a new type of measurement report is introduced that includes UL quality to facilitate the gNB in selecting beam pair link for UL transmission</w:t>
        </w:r>
      </w:hyperlink>
    </w:p>
    <w:p w14:paraId="026CCC8D"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83" w:history="1">
        <w:r w:rsidR="006619DC" w:rsidRPr="001F4D92">
          <w:rPr>
            <w:rStyle w:val="Hyperlink"/>
            <w:rFonts w:cs="Arial"/>
            <w:noProof/>
            <w:lang w:val="en-GB"/>
          </w:rPr>
          <w:t>Proposal 34</w:t>
        </w:r>
        <w:r w:rsidR="006619DC">
          <w:rPr>
            <w:rFonts w:asciiTheme="minorHAnsi" w:eastAsiaTheme="minorEastAsia" w:hAnsiTheme="minorHAnsi"/>
            <w:b w:val="0"/>
            <w:noProof/>
            <w:sz w:val="22"/>
            <w:lang w:val="sv-SE" w:eastAsia="sv-SE"/>
          </w:rPr>
          <w:tab/>
        </w:r>
        <w:r w:rsidR="006619DC" w:rsidRPr="001F4D92">
          <w:rPr>
            <w:rStyle w:val="Hyperlink"/>
            <w:rFonts w:eastAsia="Batang" w:cs="Arial"/>
            <w:noProof/>
            <w:lang w:val="en-GB" w:eastAsia="x-none"/>
          </w:rPr>
          <w:t>The new UL related beam report should be configured and triggered by the gNB</w:t>
        </w:r>
      </w:hyperlink>
    </w:p>
    <w:p w14:paraId="22EFE589"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84" w:history="1">
        <w:r w:rsidR="006619DC" w:rsidRPr="001F4D92">
          <w:rPr>
            <w:rStyle w:val="Hyperlink"/>
            <w:noProof/>
            <w:lang w:val="en-GB"/>
          </w:rPr>
          <w:t>Proposal 35</w:t>
        </w:r>
        <w:r w:rsidR="006619DC">
          <w:rPr>
            <w:rFonts w:asciiTheme="minorHAnsi" w:eastAsiaTheme="minorEastAsia" w:hAnsiTheme="minorHAnsi"/>
            <w:b w:val="0"/>
            <w:noProof/>
            <w:sz w:val="22"/>
            <w:lang w:val="sv-SE" w:eastAsia="sv-SE"/>
          </w:rPr>
          <w:tab/>
        </w:r>
        <w:r w:rsidR="006619DC" w:rsidRPr="001F4D92">
          <w:rPr>
            <w:rStyle w:val="Hyperlink"/>
            <w:noProof/>
            <w:lang w:val="en-GB"/>
          </w:rPr>
          <w:t>The UE can be configured to store the QCL properties of a subset of the RSs it has reported for a limited period of time.</w:t>
        </w:r>
      </w:hyperlink>
    </w:p>
    <w:p w14:paraId="684587F8"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85" w:history="1">
        <w:r w:rsidR="006619DC" w:rsidRPr="001F4D92">
          <w:rPr>
            <w:rStyle w:val="Hyperlink"/>
            <w:noProof/>
            <w:lang w:val="en-GB"/>
          </w:rPr>
          <w:t>Proposal 36</w:t>
        </w:r>
        <w:r w:rsidR="006619DC">
          <w:rPr>
            <w:rFonts w:asciiTheme="minorHAnsi" w:eastAsiaTheme="minorEastAsia" w:hAnsiTheme="minorHAnsi"/>
            <w:b w:val="0"/>
            <w:noProof/>
            <w:sz w:val="22"/>
            <w:lang w:val="sv-SE" w:eastAsia="sv-SE"/>
          </w:rPr>
          <w:tab/>
        </w:r>
        <w:r w:rsidR="006619DC" w:rsidRPr="001F4D92">
          <w:rPr>
            <w:rStyle w:val="Hyperlink"/>
            <w:noProof/>
            <w:lang w:val="en-GB"/>
          </w:rPr>
          <w:t>Explain the identified issue on TCI state activation delay in relation to the RAN1 work in a future LS to RAN4.</w:t>
        </w:r>
      </w:hyperlink>
    </w:p>
    <w:p w14:paraId="4E7E25B6" w14:textId="77777777" w:rsidR="006619DC" w:rsidRDefault="0027567D">
      <w:pPr>
        <w:pStyle w:val="TableofFigures"/>
        <w:tabs>
          <w:tab w:val="right" w:leader="dot" w:pos="9629"/>
        </w:tabs>
        <w:rPr>
          <w:rFonts w:asciiTheme="minorHAnsi" w:eastAsiaTheme="minorEastAsia" w:hAnsiTheme="minorHAnsi"/>
          <w:b w:val="0"/>
          <w:noProof/>
          <w:sz w:val="22"/>
          <w:lang w:val="sv-SE" w:eastAsia="sv-SE"/>
        </w:rPr>
      </w:pPr>
      <w:hyperlink w:anchor="_Toc61889386" w:history="1">
        <w:r w:rsidR="006619DC" w:rsidRPr="001F4D92">
          <w:rPr>
            <w:rStyle w:val="Hyperlink"/>
            <w:noProof/>
            <w:lang w:val="en-GB"/>
          </w:rPr>
          <w:t>Proposal 37</w:t>
        </w:r>
        <w:r w:rsidR="006619DC">
          <w:rPr>
            <w:rFonts w:asciiTheme="minorHAnsi" w:eastAsiaTheme="minorEastAsia" w:hAnsiTheme="minorHAnsi"/>
            <w:b w:val="0"/>
            <w:noProof/>
            <w:sz w:val="22"/>
            <w:lang w:val="sv-SE" w:eastAsia="sv-SE"/>
          </w:rPr>
          <w:tab/>
        </w:r>
        <w:r w:rsidR="006619DC" w:rsidRPr="001F4D92">
          <w:rPr>
            <w:rStyle w:val="Hyperlink"/>
            <w:noProof/>
            <w:lang w:val="en-GB"/>
          </w:rPr>
          <w:t>The gNB can configure the UE with equivalent SSBs on different carriers.</w:t>
        </w:r>
      </w:hyperlink>
    </w:p>
    <w:p w14:paraId="58ACA235" w14:textId="4AC3784A" w:rsidR="00C01F33" w:rsidRPr="00447829" w:rsidRDefault="006E1C82" w:rsidP="00447829">
      <w:pPr>
        <w:pStyle w:val="BodyText"/>
        <w:rPr>
          <w:b/>
        </w:rPr>
      </w:pPr>
      <w:r>
        <w:rPr>
          <w:b/>
          <w:bCs/>
        </w:rPr>
        <w:fldChar w:fldCharType="end"/>
      </w:r>
    </w:p>
    <w:p w14:paraId="71D79D99" w14:textId="77777777" w:rsidR="00F507D1" w:rsidRPr="00CE0424" w:rsidRDefault="00F507D1" w:rsidP="00CE0424">
      <w:pPr>
        <w:pStyle w:val="Heading1"/>
      </w:pPr>
      <w:bookmarkStart w:id="72" w:name="_In-sequence_SDU_delivery"/>
      <w:bookmarkEnd w:id="72"/>
      <w:r w:rsidRPr="00CE0424">
        <w:t>References</w:t>
      </w:r>
    </w:p>
    <w:p w14:paraId="666FA4A0" w14:textId="77777777" w:rsidR="00B54DD6" w:rsidRPr="00B25BEA" w:rsidRDefault="00B54DD6" w:rsidP="00B54DD6">
      <w:pPr>
        <w:pStyle w:val="Reference"/>
      </w:pPr>
      <w:bookmarkStart w:id="73" w:name="_Ref31185007"/>
      <w:bookmarkStart w:id="74" w:name="_Ref174151459"/>
      <w:bookmarkStart w:id="75" w:name="_Ref189809556"/>
      <w:r w:rsidRPr="00B25BEA">
        <w:t>RP-193133, New WID: Further enhancements on MIMO for NR, Samsung, RAN#86, Sitges, December 2019</w:t>
      </w:r>
      <w:bookmarkEnd w:id="73"/>
      <w:r w:rsidRPr="00B25BEA">
        <w:t xml:space="preserve"> </w:t>
      </w:r>
    </w:p>
    <w:p w14:paraId="1EB196DF" w14:textId="7DD4C93F" w:rsidR="00D37587" w:rsidRDefault="00D37587" w:rsidP="00D37587">
      <w:pPr>
        <w:pStyle w:val="Reference"/>
      </w:pPr>
      <w:bookmarkStart w:id="76" w:name="_Ref53994573"/>
      <w:r w:rsidRPr="00D37587">
        <w:t>3GPP TS 38.133 V16.</w:t>
      </w:r>
      <w:r w:rsidR="001B35B1">
        <w:t>2</w:t>
      </w:r>
      <w:r w:rsidRPr="00D37587">
        <w:t>.0</w:t>
      </w:r>
      <w:r>
        <w:t>, NR; Requirements for support of radio resource management, RAN#8</w:t>
      </w:r>
      <w:r w:rsidR="001B35B1">
        <w:t>6</w:t>
      </w:r>
      <w:r>
        <w:t xml:space="preserve">, </w:t>
      </w:r>
      <w:r w:rsidR="001B35B1">
        <w:t xml:space="preserve">Sitges, December </w:t>
      </w:r>
      <w:r>
        <w:t>20</w:t>
      </w:r>
      <w:r w:rsidR="001B35B1">
        <w:t>19</w:t>
      </w:r>
      <w:bookmarkEnd w:id="76"/>
    </w:p>
    <w:p w14:paraId="6E2D101F" w14:textId="4DCF7CE2" w:rsidR="00D37587" w:rsidRDefault="00D37587" w:rsidP="00D37587">
      <w:pPr>
        <w:pStyle w:val="Reference"/>
      </w:pPr>
      <w:bookmarkStart w:id="77" w:name="_Ref53994575"/>
      <w:r w:rsidRPr="00D37587">
        <w:t>3GPP TS 38.133 V16.</w:t>
      </w:r>
      <w:r w:rsidR="001B35B1">
        <w:t>3</w:t>
      </w:r>
      <w:r w:rsidRPr="00D37587">
        <w:t>.0</w:t>
      </w:r>
      <w:r>
        <w:t>, NR; Requirements for support of radio resource management, RAN#8</w:t>
      </w:r>
      <w:r w:rsidR="001B35B1">
        <w:t>7</w:t>
      </w:r>
      <w:r>
        <w:t xml:space="preserve">, </w:t>
      </w:r>
      <w:r w:rsidR="001B35B1">
        <w:t>March</w:t>
      </w:r>
      <w:r>
        <w:t xml:space="preserve"> 2020</w:t>
      </w:r>
      <w:bookmarkEnd w:id="77"/>
    </w:p>
    <w:p w14:paraId="0712900E" w14:textId="5474004B" w:rsidR="00D37587" w:rsidRPr="00786D65" w:rsidRDefault="00EC24C6" w:rsidP="00D37587">
      <w:pPr>
        <w:pStyle w:val="Reference"/>
      </w:pPr>
      <w:bookmarkStart w:id="78" w:name="_Ref54262177"/>
      <w:r w:rsidRPr="00786D65">
        <w:t>R1-20</w:t>
      </w:r>
      <w:r w:rsidR="00786D65" w:rsidRPr="00786D65">
        <w:t>09290</w:t>
      </w:r>
      <w:r w:rsidRPr="00786D65">
        <w:t xml:space="preserve"> Additional simulation results for multi-beam operation, Ericsson, RAN1#103</w:t>
      </w:r>
      <w:r w:rsidR="00C66986" w:rsidRPr="00786D65">
        <w:t>-</w:t>
      </w:r>
      <w:r w:rsidRPr="00786D65">
        <w:t>e, October 2020</w:t>
      </w:r>
      <w:bookmarkEnd w:id="78"/>
    </w:p>
    <w:p w14:paraId="53C544C4" w14:textId="4A878975" w:rsidR="00786D65" w:rsidRPr="00A645FD" w:rsidRDefault="00786D65" w:rsidP="00786D65">
      <w:pPr>
        <w:pStyle w:val="Reference"/>
      </w:pPr>
      <w:bookmarkStart w:id="79" w:name="_Ref61434316"/>
      <w:bookmarkStart w:id="80" w:name="_Ref61433876"/>
      <w:bookmarkStart w:id="81" w:name="_Hlk61857234"/>
      <w:r w:rsidRPr="00A645FD">
        <w:t>R1-21</w:t>
      </w:r>
      <w:r w:rsidR="00A645FD" w:rsidRPr="00A645FD">
        <w:t>01318</w:t>
      </w:r>
      <w:r w:rsidRPr="00A645FD">
        <w:t xml:space="preserve"> Additional simulation results for multi-beam operation, Ericsson, RAN1#104-e, January 2021</w:t>
      </w:r>
      <w:bookmarkEnd w:id="79"/>
      <w:bookmarkEnd w:id="80"/>
    </w:p>
    <w:p w14:paraId="36150A31" w14:textId="33E91180" w:rsidR="00786D65" w:rsidRPr="005A63F6" w:rsidRDefault="0079197E" w:rsidP="005A63F6">
      <w:pPr>
        <w:pStyle w:val="Reference"/>
      </w:pPr>
      <w:bookmarkStart w:id="82" w:name="_Ref54161672"/>
      <w:bookmarkEnd w:id="81"/>
      <w:r w:rsidRPr="00282AE3">
        <w:rPr>
          <w:rFonts w:cs="Arial"/>
        </w:rPr>
        <w:t>R1-2007151</w:t>
      </w:r>
      <w:r>
        <w:rPr>
          <w:rFonts w:cs="Arial"/>
        </w:rPr>
        <w:t xml:space="preserve">, </w:t>
      </w:r>
      <w:r w:rsidRPr="00282AE3">
        <w:rPr>
          <w:rFonts w:cs="Arial"/>
        </w:rPr>
        <w:t>R17 FeMIMO summary Item 1 EVM - final</w:t>
      </w:r>
      <w:r>
        <w:rPr>
          <w:rFonts w:cs="Arial"/>
        </w:rPr>
        <w:t>, Samsung, RAN1</w:t>
      </w:r>
      <w:r w:rsidRPr="00756C95">
        <w:rPr>
          <w:rFonts w:cs="Arial"/>
        </w:rPr>
        <w:t>#102-e</w:t>
      </w:r>
      <w:r>
        <w:rPr>
          <w:rFonts w:cs="Arial"/>
        </w:rPr>
        <w:t xml:space="preserve">, </w:t>
      </w:r>
      <w:r w:rsidRPr="003760C0">
        <w:rPr>
          <w:rFonts w:cs="Arial"/>
        </w:rPr>
        <w:t>August 2020</w:t>
      </w:r>
      <w:bookmarkEnd w:id="82"/>
    </w:p>
    <w:bookmarkEnd w:id="74"/>
    <w:bookmarkEnd w:id="75"/>
    <w:p w14:paraId="715CA09B" w14:textId="77777777" w:rsidR="003A7EF3" w:rsidRPr="00CE0424" w:rsidRDefault="003A7EF3" w:rsidP="00CE0424">
      <w:pPr>
        <w:pStyle w:val="BodyText"/>
      </w:pPr>
    </w:p>
    <w:sectPr w:rsidR="003A7EF3" w:rsidRPr="00CE0424" w:rsidSect="000E584B">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170678" w14:textId="77777777" w:rsidR="00CE7E49" w:rsidRDefault="00CE7E49">
      <w:r>
        <w:separator/>
      </w:r>
    </w:p>
  </w:endnote>
  <w:endnote w:type="continuationSeparator" w:id="0">
    <w:p w14:paraId="7900F291" w14:textId="77777777" w:rsidR="00CE7E49" w:rsidRDefault="00CE7E49">
      <w:r>
        <w:continuationSeparator/>
      </w:r>
    </w:p>
  </w:endnote>
  <w:endnote w:type="continuationNotice" w:id="1">
    <w:p w14:paraId="600126CB" w14:textId="77777777" w:rsidR="00CE7E49" w:rsidRDefault="00CE7E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A645FD" w:rsidRDefault="00A645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263CCD" w14:textId="77777777" w:rsidR="00CE7E49" w:rsidRDefault="00CE7E49">
      <w:r>
        <w:separator/>
      </w:r>
    </w:p>
  </w:footnote>
  <w:footnote w:type="continuationSeparator" w:id="0">
    <w:p w14:paraId="3BFC3905" w14:textId="77777777" w:rsidR="00CE7E49" w:rsidRDefault="00CE7E49">
      <w:r>
        <w:continuationSeparator/>
      </w:r>
    </w:p>
  </w:footnote>
  <w:footnote w:type="continuationNotice" w:id="1">
    <w:p w14:paraId="483B281A" w14:textId="77777777" w:rsidR="00CE7E49" w:rsidRDefault="00CE7E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A645FD" w:rsidRDefault="00A645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F52B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B87ACC"/>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3" w15:restartNumberingAfterBreak="0">
    <w:nsid w:val="02552047"/>
    <w:multiLevelType w:val="multilevel"/>
    <w:tmpl w:val="81D8DC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427762"/>
    <w:multiLevelType w:val="hybridMultilevel"/>
    <w:tmpl w:val="5FD00942"/>
    <w:lvl w:ilvl="0" w:tplc="041D0017">
      <w:start w:val="1"/>
      <w:numFmt w:val="lowerLetter"/>
      <w:lvlText w:val="%1)"/>
      <w:lvlJc w:val="left"/>
      <w:pPr>
        <w:ind w:left="720" w:hanging="360"/>
      </w:pPr>
      <w:rPr>
        <w:rFonts w:hint="default"/>
        <w:lang w:val="en-US"/>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4E383F"/>
    <w:multiLevelType w:val="hybridMultilevel"/>
    <w:tmpl w:val="E8FCA4A6"/>
    <w:lvl w:ilvl="0" w:tplc="041D0017">
      <w:start w:val="1"/>
      <w:numFmt w:val="lowerLetter"/>
      <w:lvlText w:val="%1)"/>
      <w:lvlJc w:val="left"/>
      <w:pPr>
        <w:ind w:left="720" w:hanging="360"/>
      </w:pPr>
      <w:rPr>
        <w:rFonts w:hint="default"/>
        <w:lang w:val="en-US"/>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9D5B5B"/>
    <w:multiLevelType w:val="hybridMultilevel"/>
    <w:tmpl w:val="E2E4C5A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D6C0BC7"/>
    <w:multiLevelType w:val="hybridMultilevel"/>
    <w:tmpl w:val="E75431F2"/>
    <w:lvl w:ilvl="0" w:tplc="4E5CA9E4">
      <w:numFmt w:val="bullet"/>
      <w:lvlText w:val="-"/>
      <w:lvlJc w:val="left"/>
      <w:pPr>
        <w:ind w:left="720" w:hanging="360"/>
      </w:pPr>
      <w:rPr>
        <w:rFonts w:ascii="Times New Roman" w:eastAsia="MS Mincho" w:hAnsi="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99C3693"/>
    <w:multiLevelType w:val="hybridMultilevel"/>
    <w:tmpl w:val="A4D04E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4" w15:restartNumberingAfterBreak="0">
    <w:nsid w:val="2EBC1F51"/>
    <w:multiLevelType w:val="hybridMultilevel"/>
    <w:tmpl w:val="578AE5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6718AF"/>
    <w:multiLevelType w:val="hybridMultilevel"/>
    <w:tmpl w:val="6BCCF2D2"/>
    <w:lvl w:ilvl="0" w:tplc="09F0B57A">
      <w:start w:val="1"/>
      <w:numFmt w:val="bullet"/>
      <w:lvlText w:val=""/>
      <w:lvlJc w:val="left"/>
      <w:pPr>
        <w:ind w:left="720" w:hanging="360"/>
      </w:pPr>
      <w:rPr>
        <w:rFonts w:ascii="Symbol" w:hAnsi="Symbol" w:hint="default"/>
        <w:lang w:val="en-US"/>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D1F1307"/>
    <w:multiLevelType w:val="hybridMultilevel"/>
    <w:tmpl w:val="459E2B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C8F4815"/>
    <w:multiLevelType w:val="hybridMultilevel"/>
    <w:tmpl w:val="21D692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D422852"/>
    <w:multiLevelType w:val="hybridMultilevel"/>
    <w:tmpl w:val="321A6D54"/>
    <w:lvl w:ilvl="0" w:tplc="04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E9C059A"/>
    <w:multiLevelType w:val="hybridMultilevel"/>
    <w:tmpl w:val="2968F308"/>
    <w:lvl w:ilvl="0" w:tplc="09F0B57A">
      <w:start w:val="1"/>
      <w:numFmt w:val="bullet"/>
      <w:lvlText w:val=""/>
      <w:lvlJc w:val="left"/>
      <w:pPr>
        <w:ind w:left="720" w:hanging="360"/>
      </w:pPr>
      <w:rPr>
        <w:rFonts w:ascii="Symbol" w:hAnsi="Symbol" w:hint="default"/>
        <w:lang w:val="en-US"/>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6E27A0"/>
    <w:multiLevelType w:val="hybridMultilevel"/>
    <w:tmpl w:val="B4722F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1073F8"/>
    <w:multiLevelType w:val="hybridMultilevel"/>
    <w:tmpl w:val="8B581F58"/>
    <w:lvl w:ilvl="0" w:tplc="3EACB6FC">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E3F5671"/>
    <w:multiLevelType w:val="hybridMultilevel"/>
    <w:tmpl w:val="03D6A884"/>
    <w:lvl w:ilvl="0" w:tplc="04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C86289"/>
    <w:multiLevelType w:val="hybridMultilevel"/>
    <w:tmpl w:val="C278278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5426920"/>
    <w:multiLevelType w:val="hybridMultilevel"/>
    <w:tmpl w:val="679055AA"/>
    <w:lvl w:ilvl="0" w:tplc="B6FC556C">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7F20E86"/>
    <w:multiLevelType w:val="hybridMultilevel"/>
    <w:tmpl w:val="ACEA0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E76762"/>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CE43F4A"/>
    <w:multiLevelType w:val="multilevel"/>
    <w:tmpl w:val="F54AD5E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2D0544"/>
    <w:multiLevelType w:val="hybridMultilevel"/>
    <w:tmpl w:val="79B6E20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6E874A4"/>
    <w:multiLevelType w:val="hybridMultilevel"/>
    <w:tmpl w:val="0C963680"/>
    <w:lvl w:ilvl="0" w:tplc="4E5CA9E4">
      <w:numFmt w:val="bullet"/>
      <w:lvlText w:val="-"/>
      <w:lvlJc w:val="left"/>
      <w:pPr>
        <w:ind w:left="720" w:hanging="360"/>
      </w:pPr>
      <w:rPr>
        <w:rFonts w:ascii="Times New Roman" w:eastAsia="MS Mincho" w:hAnsi="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7FA0E6E"/>
    <w:multiLevelType w:val="hybridMultilevel"/>
    <w:tmpl w:val="7E60A53E"/>
    <w:lvl w:ilvl="0" w:tplc="04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A81032C"/>
    <w:multiLevelType w:val="hybridMultilevel"/>
    <w:tmpl w:val="DEF61594"/>
    <w:lvl w:ilvl="0" w:tplc="09F0B57A">
      <w:start w:val="1"/>
      <w:numFmt w:val="bullet"/>
      <w:lvlText w:val=""/>
      <w:lvlJc w:val="left"/>
      <w:pPr>
        <w:ind w:left="720" w:hanging="360"/>
      </w:pPr>
      <w:rPr>
        <w:rFonts w:ascii="Symbol" w:hAnsi="Symbol" w:hint="default"/>
        <w:lang w:val="en-US"/>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2"/>
  </w:num>
  <w:num w:numId="4">
    <w:abstractNumId w:val="26"/>
  </w:num>
  <w:num w:numId="5">
    <w:abstractNumId w:val="28"/>
  </w:num>
  <w:num w:numId="6">
    <w:abstractNumId w:val="30"/>
  </w:num>
  <w:num w:numId="7">
    <w:abstractNumId w:val="11"/>
  </w:num>
  <w:num w:numId="8">
    <w:abstractNumId w:val="12"/>
  </w:num>
  <w:num w:numId="9">
    <w:abstractNumId w:val="8"/>
  </w:num>
  <w:num w:numId="10">
    <w:abstractNumId w:val="40"/>
  </w:num>
  <w:num w:numId="11">
    <w:abstractNumId w:val="15"/>
  </w:num>
  <w:num w:numId="12">
    <w:abstractNumId w:val="39"/>
  </w:num>
  <w:num w:numId="13">
    <w:abstractNumId w:val="18"/>
    <w:lvlOverride w:ilvl="0"/>
    <w:lvlOverride w:ilvl="1">
      <w:startOverride w:val="1"/>
    </w:lvlOverride>
    <w:lvlOverride w:ilvl="2"/>
    <w:lvlOverride w:ilvl="3"/>
    <w:lvlOverride w:ilvl="4"/>
    <w:lvlOverride w:ilvl="5"/>
    <w:lvlOverride w:ilvl="6"/>
    <w:lvlOverride w:ilvl="7"/>
    <w:lvlOverride w:ilvl="8"/>
  </w:num>
  <w:num w:numId="14">
    <w:abstractNumId w:val="43"/>
  </w:num>
  <w:num w:numId="15">
    <w:abstractNumId w:val="32"/>
  </w:num>
  <w:num w:numId="16">
    <w:abstractNumId w:val="31"/>
  </w:num>
  <w:num w:numId="17">
    <w:abstractNumId w:val="24"/>
  </w:num>
  <w:num w:numId="18">
    <w:abstractNumId w:val="34"/>
  </w:num>
  <w:num w:numId="19">
    <w:abstractNumId w:val="14"/>
  </w:num>
  <w:num w:numId="20">
    <w:abstractNumId w:val="20"/>
  </w:num>
  <w:num w:numId="21">
    <w:abstractNumId w:val="38"/>
  </w:num>
  <w:num w:numId="22">
    <w:abstractNumId w:val="9"/>
  </w:num>
  <w:num w:numId="23">
    <w:abstractNumId w:val="5"/>
  </w:num>
  <w:num w:numId="24">
    <w:abstractNumId w:val="25"/>
  </w:num>
  <w:num w:numId="25">
    <w:abstractNumId w:val="44"/>
  </w:num>
  <w:num w:numId="26">
    <w:abstractNumId w:val="19"/>
  </w:num>
  <w:num w:numId="27">
    <w:abstractNumId w:val="4"/>
  </w:num>
  <w:num w:numId="28">
    <w:abstractNumId w:val="23"/>
  </w:num>
  <w:num w:numId="29">
    <w:abstractNumId w:val="37"/>
  </w:num>
  <w:num w:numId="30">
    <w:abstractNumId w:val="6"/>
  </w:num>
  <w:num w:numId="31">
    <w:abstractNumId w:val="33"/>
  </w:num>
  <w:num w:numId="32">
    <w:abstractNumId w:val="27"/>
  </w:num>
  <w:num w:numId="33">
    <w:abstractNumId w:val="45"/>
  </w:num>
  <w:num w:numId="34">
    <w:abstractNumId w:val="13"/>
  </w:num>
  <w:num w:numId="35">
    <w:abstractNumId w:val="29"/>
  </w:num>
  <w:num w:numId="36">
    <w:abstractNumId w:val="16"/>
  </w:num>
  <w:num w:numId="37">
    <w:abstractNumId w:val="10"/>
  </w:num>
  <w:num w:numId="38">
    <w:abstractNumId w:val="41"/>
  </w:num>
  <w:num w:numId="39">
    <w:abstractNumId w:val="35"/>
  </w:num>
  <w:num w:numId="40">
    <w:abstractNumId w:val="22"/>
  </w:num>
  <w:num w:numId="41">
    <w:abstractNumId w:val="7"/>
  </w:num>
  <w:num w:numId="42">
    <w:abstractNumId w:val="1"/>
  </w:num>
  <w:num w:numId="43">
    <w:abstractNumId w:val="0"/>
  </w:num>
  <w:num w:numId="44">
    <w:abstractNumId w:val="36"/>
  </w:num>
  <w:num w:numId="45">
    <w:abstractNumId w:val="3"/>
  </w:num>
  <w:num w:numId="46">
    <w:abstractNumId w:val="4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047"/>
    <w:rsid w:val="0000564C"/>
    <w:rsid w:val="00006446"/>
    <w:rsid w:val="00006896"/>
    <w:rsid w:val="00007CDC"/>
    <w:rsid w:val="00011B28"/>
    <w:rsid w:val="00013AAE"/>
    <w:rsid w:val="00015D15"/>
    <w:rsid w:val="000170F6"/>
    <w:rsid w:val="0002098F"/>
    <w:rsid w:val="00021E0B"/>
    <w:rsid w:val="00021F49"/>
    <w:rsid w:val="00024C0E"/>
    <w:rsid w:val="0002564D"/>
    <w:rsid w:val="00025ECA"/>
    <w:rsid w:val="00027F89"/>
    <w:rsid w:val="00030D1B"/>
    <w:rsid w:val="000325B8"/>
    <w:rsid w:val="0003435C"/>
    <w:rsid w:val="00034C15"/>
    <w:rsid w:val="000366D8"/>
    <w:rsid w:val="00036BA1"/>
    <w:rsid w:val="000412B3"/>
    <w:rsid w:val="000422E2"/>
    <w:rsid w:val="00042F22"/>
    <w:rsid w:val="000444EF"/>
    <w:rsid w:val="00045A70"/>
    <w:rsid w:val="00052A07"/>
    <w:rsid w:val="000534E3"/>
    <w:rsid w:val="0005426E"/>
    <w:rsid w:val="0005513A"/>
    <w:rsid w:val="0005606A"/>
    <w:rsid w:val="00057117"/>
    <w:rsid w:val="000616E7"/>
    <w:rsid w:val="00063F03"/>
    <w:rsid w:val="0006487E"/>
    <w:rsid w:val="0006510E"/>
    <w:rsid w:val="00065E1A"/>
    <w:rsid w:val="00066C49"/>
    <w:rsid w:val="00073365"/>
    <w:rsid w:val="00077E5F"/>
    <w:rsid w:val="0008036A"/>
    <w:rsid w:val="00080CBB"/>
    <w:rsid w:val="00080E22"/>
    <w:rsid w:val="00081AE6"/>
    <w:rsid w:val="00082415"/>
    <w:rsid w:val="000855EB"/>
    <w:rsid w:val="00085B52"/>
    <w:rsid w:val="000866F2"/>
    <w:rsid w:val="00086842"/>
    <w:rsid w:val="0009009F"/>
    <w:rsid w:val="00091240"/>
    <w:rsid w:val="00091557"/>
    <w:rsid w:val="00091CED"/>
    <w:rsid w:val="000924C1"/>
    <w:rsid w:val="000924F0"/>
    <w:rsid w:val="00093474"/>
    <w:rsid w:val="0009510F"/>
    <w:rsid w:val="000A1B7B"/>
    <w:rsid w:val="000A56F2"/>
    <w:rsid w:val="000B2719"/>
    <w:rsid w:val="000B3A8F"/>
    <w:rsid w:val="000B407C"/>
    <w:rsid w:val="000B4AB9"/>
    <w:rsid w:val="000B572B"/>
    <w:rsid w:val="000B58C3"/>
    <w:rsid w:val="000B61E9"/>
    <w:rsid w:val="000C165A"/>
    <w:rsid w:val="000C2E19"/>
    <w:rsid w:val="000C34CA"/>
    <w:rsid w:val="000C4DEF"/>
    <w:rsid w:val="000C715D"/>
    <w:rsid w:val="000D0D07"/>
    <w:rsid w:val="000D17C4"/>
    <w:rsid w:val="000D19DE"/>
    <w:rsid w:val="000D4797"/>
    <w:rsid w:val="000D607B"/>
    <w:rsid w:val="000E0527"/>
    <w:rsid w:val="000E1E92"/>
    <w:rsid w:val="000E3777"/>
    <w:rsid w:val="000E4ED6"/>
    <w:rsid w:val="000E4F7C"/>
    <w:rsid w:val="000E584B"/>
    <w:rsid w:val="000F06D6"/>
    <w:rsid w:val="000F0EB1"/>
    <w:rsid w:val="000F1106"/>
    <w:rsid w:val="000F143B"/>
    <w:rsid w:val="000F31CA"/>
    <w:rsid w:val="000F329D"/>
    <w:rsid w:val="000F3BE9"/>
    <w:rsid w:val="000F3F6C"/>
    <w:rsid w:val="000F4328"/>
    <w:rsid w:val="000F6DF3"/>
    <w:rsid w:val="000F7D2E"/>
    <w:rsid w:val="001005FF"/>
    <w:rsid w:val="00101DB7"/>
    <w:rsid w:val="0010252C"/>
    <w:rsid w:val="00103D75"/>
    <w:rsid w:val="001062FB"/>
    <w:rsid w:val="001063E6"/>
    <w:rsid w:val="00107FDF"/>
    <w:rsid w:val="0011092F"/>
    <w:rsid w:val="00113CF4"/>
    <w:rsid w:val="001153EA"/>
    <w:rsid w:val="00115643"/>
    <w:rsid w:val="00116765"/>
    <w:rsid w:val="00116820"/>
    <w:rsid w:val="001219F5"/>
    <w:rsid w:val="00121A20"/>
    <w:rsid w:val="001222D4"/>
    <w:rsid w:val="0012377F"/>
    <w:rsid w:val="00124314"/>
    <w:rsid w:val="00126B4A"/>
    <w:rsid w:val="00132FD0"/>
    <w:rsid w:val="00133DC0"/>
    <w:rsid w:val="001344C0"/>
    <w:rsid w:val="001346FA"/>
    <w:rsid w:val="001348B3"/>
    <w:rsid w:val="00135231"/>
    <w:rsid w:val="00135252"/>
    <w:rsid w:val="00136575"/>
    <w:rsid w:val="00136EBB"/>
    <w:rsid w:val="00137AB5"/>
    <w:rsid w:val="00137D6B"/>
    <w:rsid w:val="00137F0B"/>
    <w:rsid w:val="00141CC3"/>
    <w:rsid w:val="00143848"/>
    <w:rsid w:val="00143D25"/>
    <w:rsid w:val="001473CE"/>
    <w:rsid w:val="00151E23"/>
    <w:rsid w:val="001526E0"/>
    <w:rsid w:val="001551B5"/>
    <w:rsid w:val="00157279"/>
    <w:rsid w:val="0015769E"/>
    <w:rsid w:val="00164241"/>
    <w:rsid w:val="001659C1"/>
    <w:rsid w:val="0016710F"/>
    <w:rsid w:val="00172465"/>
    <w:rsid w:val="00173A8E"/>
    <w:rsid w:val="0017502C"/>
    <w:rsid w:val="00176ABE"/>
    <w:rsid w:val="00180B13"/>
    <w:rsid w:val="00180CA7"/>
    <w:rsid w:val="00181308"/>
    <w:rsid w:val="0018143F"/>
    <w:rsid w:val="00181FF8"/>
    <w:rsid w:val="0019074B"/>
    <w:rsid w:val="0019084D"/>
    <w:rsid w:val="00190AC1"/>
    <w:rsid w:val="001932CF"/>
    <w:rsid w:val="0019341A"/>
    <w:rsid w:val="00193FE2"/>
    <w:rsid w:val="00197DF9"/>
    <w:rsid w:val="001A1987"/>
    <w:rsid w:val="001A206B"/>
    <w:rsid w:val="001A2533"/>
    <w:rsid w:val="001A2564"/>
    <w:rsid w:val="001A429F"/>
    <w:rsid w:val="001A50A5"/>
    <w:rsid w:val="001A6173"/>
    <w:rsid w:val="001A6CBA"/>
    <w:rsid w:val="001B0A41"/>
    <w:rsid w:val="001B0D97"/>
    <w:rsid w:val="001B35B1"/>
    <w:rsid w:val="001B3F31"/>
    <w:rsid w:val="001B4E1B"/>
    <w:rsid w:val="001B5A5D"/>
    <w:rsid w:val="001C118A"/>
    <w:rsid w:val="001C1CE5"/>
    <w:rsid w:val="001C1D0E"/>
    <w:rsid w:val="001C2178"/>
    <w:rsid w:val="001C3D2A"/>
    <w:rsid w:val="001D490D"/>
    <w:rsid w:val="001D4A00"/>
    <w:rsid w:val="001D51BA"/>
    <w:rsid w:val="001D53E7"/>
    <w:rsid w:val="001D6204"/>
    <w:rsid w:val="001D6342"/>
    <w:rsid w:val="001D6D53"/>
    <w:rsid w:val="001E58E2"/>
    <w:rsid w:val="001E6813"/>
    <w:rsid w:val="001E6A65"/>
    <w:rsid w:val="001E7AED"/>
    <w:rsid w:val="001F3916"/>
    <w:rsid w:val="001F54C5"/>
    <w:rsid w:val="001F662C"/>
    <w:rsid w:val="001F7074"/>
    <w:rsid w:val="00200490"/>
    <w:rsid w:val="00201F3A"/>
    <w:rsid w:val="00203A6F"/>
    <w:rsid w:val="00203F96"/>
    <w:rsid w:val="0020526A"/>
    <w:rsid w:val="002069B2"/>
    <w:rsid w:val="00206ED3"/>
    <w:rsid w:val="00207FA3"/>
    <w:rsid w:val="0021140B"/>
    <w:rsid w:val="00212C79"/>
    <w:rsid w:val="00213210"/>
    <w:rsid w:val="00214DA8"/>
    <w:rsid w:val="00215423"/>
    <w:rsid w:val="002158FA"/>
    <w:rsid w:val="00220600"/>
    <w:rsid w:val="00220A5C"/>
    <w:rsid w:val="002224DB"/>
    <w:rsid w:val="002226B7"/>
    <w:rsid w:val="00222823"/>
    <w:rsid w:val="00223FCB"/>
    <w:rsid w:val="002252C3"/>
    <w:rsid w:val="00225C54"/>
    <w:rsid w:val="00226D6A"/>
    <w:rsid w:val="00230765"/>
    <w:rsid w:val="00230D18"/>
    <w:rsid w:val="002319E4"/>
    <w:rsid w:val="00235632"/>
    <w:rsid w:val="00235872"/>
    <w:rsid w:val="00241559"/>
    <w:rsid w:val="002435B3"/>
    <w:rsid w:val="002458EB"/>
    <w:rsid w:val="00247C5D"/>
    <w:rsid w:val="002500C8"/>
    <w:rsid w:val="00255C40"/>
    <w:rsid w:val="00257543"/>
    <w:rsid w:val="0026085E"/>
    <w:rsid w:val="002617E7"/>
    <w:rsid w:val="00264228"/>
    <w:rsid w:val="00264334"/>
    <w:rsid w:val="0026473E"/>
    <w:rsid w:val="00265732"/>
    <w:rsid w:val="00266214"/>
    <w:rsid w:val="00267C83"/>
    <w:rsid w:val="00267E6A"/>
    <w:rsid w:val="0027144F"/>
    <w:rsid w:val="00271813"/>
    <w:rsid w:val="00271F3A"/>
    <w:rsid w:val="00273278"/>
    <w:rsid w:val="002737F4"/>
    <w:rsid w:val="0027567D"/>
    <w:rsid w:val="002805F5"/>
    <w:rsid w:val="00280751"/>
    <w:rsid w:val="0028280A"/>
    <w:rsid w:val="00282875"/>
    <w:rsid w:val="00285D4E"/>
    <w:rsid w:val="00286ACD"/>
    <w:rsid w:val="00287838"/>
    <w:rsid w:val="002907B5"/>
    <w:rsid w:val="00292EB7"/>
    <w:rsid w:val="00293181"/>
    <w:rsid w:val="00293706"/>
    <w:rsid w:val="00293AE8"/>
    <w:rsid w:val="00294008"/>
    <w:rsid w:val="002945E8"/>
    <w:rsid w:val="00296227"/>
    <w:rsid w:val="00296F44"/>
    <w:rsid w:val="00297503"/>
    <w:rsid w:val="0029777D"/>
    <w:rsid w:val="002A055E"/>
    <w:rsid w:val="002A1D4E"/>
    <w:rsid w:val="002A2869"/>
    <w:rsid w:val="002A4D42"/>
    <w:rsid w:val="002B13CB"/>
    <w:rsid w:val="002B24D6"/>
    <w:rsid w:val="002B698A"/>
    <w:rsid w:val="002C1A59"/>
    <w:rsid w:val="002C41E6"/>
    <w:rsid w:val="002C664E"/>
    <w:rsid w:val="002C7D2A"/>
    <w:rsid w:val="002D071A"/>
    <w:rsid w:val="002D34B2"/>
    <w:rsid w:val="002D3A38"/>
    <w:rsid w:val="002D48B0"/>
    <w:rsid w:val="002D55D6"/>
    <w:rsid w:val="002D56B6"/>
    <w:rsid w:val="002D5B37"/>
    <w:rsid w:val="002D6DB8"/>
    <w:rsid w:val="002D7637"/>
    <w:rsid w:val="002E17F2"/>
    <w:rsid w:val="002E1C6D"/>
    <w:rsid w:val="002E3557"/>
    <w:rsid w:val="002E5668"/>
    <w:rsid w:val="002E7ADA"/>
    <w:rsid w:val="002E7CAE"/>
    <w:rsid w:val="002F13E4"/>
    <w:rsid w:val="002F2038"/>
    <w:rsid w:val="002F2771"/>
    <w:rsid w:val="002F37A9"/>
    <w:rsid w:val="002F4238"/>
    <w:rsid w:val="002F468C"/>
    <w:rsid w:val="00301CE6"/>
    <w:rsid w:val="0030256B"/>
    <w:rsid w:val="0030490D"/>
    <w:rsid w:val="0030501F"/>
    <w:rsid w:val="00307BA1"/>
    <w:rsid w:val="00311702"/>
    <w:rsid w:val="00311E82"/>
    <w:rsid w:val="00313C8A"/>
    <w:rsid w:val="00313F0D"/>
    <w:rsid w:val="00313FD6"/>
    <w:rsid w:val="003143BD"/>
    <w:rsid w:val="00315363"/>
    <w:rsid w:val="00317069"/>
    <w:rsid w:val="003203ED"/>
    <w:rsid w:val="00320438"/>
    <w:rsid w:val="00322C9F"/>
    <w:rsid w:val="003232DA"/>
    <w:rsid w:val="00324D23"/>
    <w:rsid w:val="00324E84"/>
    <w:rsid w:val="003278EE"/>
    <w:rsid w:val="00331751"/>
    <w:rsid w:val="00332815"/>
    <w:rsid w:val="00334579"/>
    <w:rsid w:val="00335858"/>
    <w:rsid w:val="00336BDA"/>
    <w:rsid w:val="0033781A"/>
    <w:rsid w:val="00340BEB"/>
    <w:rsid w:val="00342BD7"/>
    <w:rsid w:val="00343B5E"/>
    <w:rsid w:val="003464B2"/>
    <w:rsid w:val="00346DB5"/>
    <w:rsid w:val="003477B1"/>
    <w:rsid w:val="0035283F"/>
    <w:rsid w:val="00357380"/>
    <w:rsid w:val="003602D9"/>
    <w:rsid w:val="003604CE"/>
    <w:rsid w:val="0036436D"/>
    <w:rsid w:val="00364D4D"/>
    <w:rsid w:val="003668A1"/>
    <w:rsid w:val="00370E47"/>
    <w:rsid w:val="00371809"/>
    <w:rsid w:val="00371986"/>
    <w:rsid w:val="003742AC"/>
    <w:rsid w:val="00376281"/>
    <w:rsid w:val="00377CE1"/>
    <w:rsid w:val="0038187D"/>
    <w:rsid w:val="003835F3"/>
    <w:rsid w:val="00385BF0"/>
    <w:rsid w:val="00387DE8"/>
    <w:rsid w:val="003935A0"/>
    <w:rsid w:val="003939FF"/>
    <w:rsid w:val="00397C75"/>
    <w:rsid w:val="003A2223"/>
    <w:rsid w:val="003A2A0F"/>
    <w:rsid w:val="003A45A1"/>
    <w:rsid w:val="003A5B0A"/>
    <w:rsid w:val="003A6BAC"/>
    <w:rsid w:val="003A70A4"/>
    <w:rsid w:val="003A7EF3"/>
    <w:rsid w:val="003B159C"/>
    <w:rsid w:val="003B369F"/>
    <w:rsid w:val="003B36A3"/>
    <w:rsid w:val="003B4430"/>
    <w:rsid w:val="003B64BB"/>
    <w:rsid w:val="003B6870"/>
    <w:rsid w:val="003B6E84"/>
    <w:rsid w:val="003B781B"/>
    <w:rsid w:val="003B7FE5"/>
    <w:rsid w:val="003C078B"/>
    <w:rsid w:val="003C11C8"/>
    <w:rsid w:val="003C2702"/>
    <w:rsid w:val="003C4272"/>
    <w:rsid w:val="003C7779"/>
    <w:rsid w:val="003C7806"/>
    <w:rsid w:val="003D109F"/>
    <w:rsid w:val="003D23DE"/>
    <w:rsid w:val="003D2478"/>
    <w:rsid w:val="003D3C45"/>
    <w:rsid w:val="003D5B1F"/>
    <w:rsid w:val="003D6BC1"/>
    <w:rsid w:val="003E15FA"/>
    <w:rsid w:val="003E55E4"/>
    <w:rsid w:val="003E74B0"/>
    <w:rsid w:val="003E74E3"/>
    <w:rsid w:val="003F05C7"/>
    <w:rsid w:val="003F2CD4"/>
    <w:rsid w:val="003F6BBE"/>
    <w:rsid w:val="004000E8"/>
    <w:rsid w:val="00402E2B"/>
    <w:rsid w:val="0040512B"/>
    <w:rsid w:val="00405CA5"/>
    <w:rsid w:val="00407CD3"/>
    <w:rsid w:val="00410134"/>
    <w:rsid w:val="00410B72"/>
    <w:rsid w:val="00410CE3"/>
    <w:rsid w:val="00410F18"/>
    <w:rsid w:val="004112E5"/>
    <w:rsid w:val="0041263E"/>
    <w:rsid w:val="00413AAC"/>
    <w:rsid w:val="00413E92"/>
    <w:rsid w:val="004152EC"/>
    <w:rsid w:val="0042101E"/>
    <w:rsid w:val="00421105"/>
    <w:rsid w:val="00422AA4"/>
    <w:rsid w:val="004236E1"/>
    <w:rsid w:val="004242F4"/>
    <w:rsid w:val="004251B9"/>
    <w:rsid w:val="00425ACF"/>
    <w:rsid w:val="00427248"/>
    <w:rsid w:val="00430FD9"/>
    <w:rsid w:val="00431C80"/>
    <w:rsid w:val="004347B5"/>
    <w:rsid w:val="00437447"/>
    <w:rsid w:val="00440961"/>
    <w:rsid w:val="00441A92"/>
    <w:rsid w:val="004431DC"/>
    <w:rsid w:val="004438A6"/>
    <w:rsid w:val="00443BC7"/>
    <w:rsid w:val="00444F56"/>
    <w:rsid w:val="00446488"/>
    <w:rsid w:val="0044688F"/>
    <w:rsid w:val="00447829"/>
    <w:rsid w:val="004517AA"/>
    <w:rsid w:val="004524C2"/>
    <w:rsid w:val="00452CAC"/>
    <w:rsid w:val="00455862"/>
    <w:rsid w:val="0045625B"/>
    <w:rsid w:val="00457565"/>
    <w:rsid w:val="00457B71"/>
    <w:rsid w:val="00464689"/>
    <w:rsid w:val="004669E2"/>
    <w:rsid w:val="00467441"/>
    <w:rsid w:val="00470C31"/>
    <w:rsid w:val="00471DE0"/>
    <w:rsid w:val="004734D0"/>
    <w:rsid w:val="00474363"/>
    <w:rsid w:val="00475237"/>
    <w:rsid w:val="0047556B"/>
    <w:rsid w:val="00477768"/>
    <w:rsid w:val="00480C09"/>
    <w:rsid w:val="00485B68"/>
    <w:rsid w:val="004871C7"/>
    <w:rsid w:val="00491988"/>
    <w:rsid w:val="00492BC5"/>
    <w:rsid w:val="0049305D"/>
    <w:rsid w:val="00493D02"/>
    <w:rsid w:val="004964F1"/>
    <w:rsid w:val="004A16BC"/>
    <w:rsid w:val="004A2B94"/>
    <w:rsid w:val="004A2E53"/>
    <w:rsid w:val="004A63FC"/>
    <w:rsid w:val="004A7B2F"/>
    <w:rsid w:val="004B0BBD"/>
    <w:rsid w:val="004B25A1"/>
    <w:rsid w:val="004B312B"/>
    <w:rsid w:val="004B6F6A"/>
    <w:rsid w:val="004B7C0C"/>
    <w:rsid w:val="004C06A4"/>
    <w:rsid w:val="004C3898"/>
    <w:rsid w:val="004C4172"/>
    <w:rsid w:val="004C6358"/>
    <w:rsid w:val="004D0E48"/>
    <w:rsid w:val="004D36B1"/>
    <w:rsid w:val="004D38DA"/>
    <w:rsid w:val="004D7EBD"/>
    <w:rsid w:val="004E2680"/>
    <w:rsid w:val="004E28F9"/>
    <w:rsid w:val="004E462E"/>
    <w:rsid w:val="004E56DC"/>
    <w:rsid w:val="004E76F4"/>
    <w:rsid w:val="004F0B4E"/>
    <w:rsid w:val="004F0B6C"/>
    <w:rsid w:val="004F113B"/>
    <w:rsid w:val="004F2078"/>
    <w:rsid w:val="004F4DA3"/>
    <w:rsid w:val="00501758"/>
    <w:rsid w:val="005022F4"/>
    <w:rsid w:val="0050496A"/>
    <w:rsid w:val="00506145"/>
    <w:rsid w:val="00506557"/>
    <w:rsid w:val="0050677A"/>
    <w:rsid w:val="00507940"/>
    <w:rsid w:val="005108D8"/>
    <w:rsid w:val="005116F9"/>
    <w:rsid w:val="0051204A"/>
    <w:rsid w:val="0051461B"/>
    <w:rsid w:val="00514BEF"/>
    <w:rsid w:val="005153A7"/>
    <w:rsid w:val="005215DF"/>
    <w:rsid w:val="005219CF"/>
    <w:rsid w:val="00525C0D"/>
    <w:rsid w:val="00526A7C"/>
    <w:rsid w:val="00534B59"/>
    <w:rsid w:val="00536759"/>
    <w:rsid w:val="0053730E"/>
    <w:rsid w:val="00537C62"/>
    <w:rsid w:val="00544700"/>
    <w:rsid w:val="00546970"/>
    <w:rsid w:val="0054743D"/>
    <w:rsid w:val="00554E19"/>
    <w:rsid w:val="00555136"/>
    <w:rsid w:val="005552D2"/>
    <w:rsid w:val="00557415"/>
    <w:rsid w:val="0056121F"/>
    <w:rsid w:val="00566EEC"/>
    <w:rsid w:val="00572505"/>
    <w:rsid w:val="005735BD"/>
    <w:rsid w:val="005747EF"/>
    <w:rsid w:val="00582809"/>
    <w:rsid w:val="0058798C"/>
    <w:rsid w:val="005900FA"/>
    <w:rsid w:val="00592998"/>
    <w:rsid w:val="005935A4"/>
    <w:rsid w:val="005948C2"/>
    <w:rsid w:val="00595DCA"/>
    <w:rsid w:val="0059779B"/>
    <w:rsid w:val="005A209A"/>
    <w:rsid w:val="005A63F6"/>
    <w:rsid w:val="005A662D"/>
    <w:rsid w:val="005A769C"/>
    <w:rsid w:val="005B1409"/>
    <w:rsid w:val="005B35D7"/>
    <w:rsid w:val="005B392A"/>
    <w:rsid w:val="005B3AA3"/>
    <w:rsid w:val="005B3FA2"/>
    <w:rsid w:val="005B6F83"/>
    <w:rsid w:val="005C055E"/>
    <w:rsid w:val="005C4170"/>
    <w:rsid w:val="005C594A"/>
    <w:rsid w:val="005C6D2B"/>
    <w:rsid w:val="005C74FB"/>
    <w:rsid w:val="005D1602"/>
    <w:rsid w:val="005D6085"/>
    <w:rsid w:val="005E1CF5"/>
    <w:rsid w:val="005E385F"/>
    <w:rsid w:val="005E3F7F"/>
    <w:rsid w:val="005E5B81"/>
    <w:rsid w:val="005F0299"/>
    <w:rsid w:val="005F038B"/>
    <w:rsid w:val="005F16C2"/>
    <w:rsid w:val="005F1A47"/>
    <w:rsid w:val="005F2CB1"/>
    <w:rsid w:val="005F3025"/>
    <w:rsid w:val="005F34BE"/>
    <w:rsid w:val="005F618C"/>
    <w:rsid w:val="005F70BD"/>
    <w:rsid w:val="0060283C"/>
    <w:rsid w:val="00604F14"/>
    <w:rsid w:val="00605145"/>
    <w:rsid w:val="0060598C"/>
    <w:rsid w:val="00611B83"/>
    <w:rsid w:val="00613257"/>
    <w:rsid w:val="00620A71"/>
    <w:rsid w:val="00620C33"/>
    <w:rsid w:val="00620D80"/>
    <w:rsid w:val="0062230E"/>
    <w:rsid w:val="006233E0"/>
    <w:rsid w:val="006234A6"/>
    <w:rsid w:val="00627679"/>
    <w:rsid w:val="00630001"/>
    <w:rsid w:val="00630668"/>
    <w:rsid w:val="006311B3"/>
    <w:rsid w:val="0063284C"/>
    <w:rsid w:val="00634B7C"/>
    <w:rsid w:val="00636398"/>
    <w:rsid w:val="006368D3"/>
    <w:rsid w:val="006377EC"/>
    <w:rsid w:val="0064151F"/>
    <w:rsid w:val="00641533"/>
    <w:rsid w:val="0064208D"/>
    <w:rsid w:val="00642ADF"/>
    <w:rsid w:val="00643475"/>
    <w:rsid w:val="00643803"/>
    <w:rsid w:val="0064396A"/>
    <w:rsid w:val="0064624E"/>
    <w:rsid w:val="00646E4F"/>
    <w:rsid w:val="00650AB9"/>
    <w:rsid w:val="00653F47"/>
    <w:rsid w:val="00655733"/>
    <w:rsid w:val="00655ACD"/>
    <w:rsid w:val="00656A92"/>
    <w:rsid w:val="00656DDE"/>
    <w:rsid w:val="006572AF"/>
    <w:rsid w:val="0066011D"/>
    <w:rsid w:val="006607C0"/>
    <w:rsid w:val="006613A6"/>
    <w:rsid w:val="006616A8"/>
    <w:rsid w:val="006619DC"/>
    <w:rsid w:val="006627A2"/>
    <w:rsid w:val="006634E6"/>
    <w:rsid w:val="00664930"/>
    <w:rsid w:val="006655EE"/>
    <w:rsid w:val="00667EE7"/>
    <w:rsid w:val="00670922"/>
    <w:rsid w:val="00670BE1"/>
    <w:rsid w:val="0067218F"/>
    <w:rsid w:val="006739AB"/>
    <w:rsid w:val="00673E5C"/>
    <w:rsid w:val="006741F2"/>
    <w:rsid w:val="00674CC3"/>
    <w:rsid w:val="00675C72"/>
    <w:rsid w:val="006771F9"/>
    <w:rsid w:val="006776D7"/>
    <w:rsid w:val="00681003"/>
    <w:rsid w:val="006817C9"/>
    <w:rsid w:val="0068218A"/>
    <w:rsid w:val="00683ECE"/>
    <w:rsid w:val="00685505"/>
    <w:rsid w:val="00695FC2"/>
    <w:rsid w:val="00696949"/>
    <w:rsid w:val="00697052"/>
    <w:rsid w:val="006A2A90"/>
    <w:rsid w:val="006A33AD"/>
    <w:rsid w:val="006A46FB"/>
    <w:rsid w:val="006A59E5"/>
    <w:rsid w:val="006A5E28"/>
    <w:rsid w:val="006A65B7"/>
    <w:rsid w:val="006A697B"/>
    <w:rsid w:val="006A7AFF"/>
    <w:rsid w:val="006B1816"/>
    <w:rsid w:val="006B2099"/>
    <w:rsid w:val="006B34B8"/>
    <w:rsid w:val="006B4134"/>
    <w:rsid w:val="006B50CF"/>
    <w:rsid w:val="006B59A2"/>
    <w:rsid w:val="006B5F2D"/>
    <w:rsid w:val="006B6721"/>
    <w:rsid w:val="006C03B8"/>
    <w:rsid w:val="006C1B56"/>
    <w:rsid w:val="006C1E95"/>
    <w:rsid w:val="006C42B1"/>
    <w:rsid w:val="006C4373"/>
    <w:rsid w:val="006C54DC"/>
    <w:rsid w:val="006C5EC9"/>
    <w:rsid w:val="006C6059"/>
    <w:rsid w:val="006C7522"/>
    <w:rsid w:val="006D4A66"/>
    <w:rsid w:val="006D61EC"/>
    <w:rsid w:val="006D6F08"/>
    <w:rsid w:val="006E062C"/>
    <w:rsid w:val="006E0A92"/>
    <w:rsid w:val="006E1C82"/>
    <w:rsid w:val="006E28B7"/>
    <w:rsid w:val="006E2A82"/>
    <w:rsid w:val="006E2A9B"/>
    <w:rsid w:val="006E3310"/>
    <w:rsid w:val="006E4E39"/>
    <w:rsid w:val="006E565E"/>
    <w:rsid w:val="006E673D"/>
    <w:rsid w:val="006E7D3B"/>
    <w:rsid w:val="006F1B70"/>
    <w:rsid w:val="006F341D"/>
    <w:rsid w:val="006F3BC7"/>
    <w:rsid w:val="006F3CDE"/>
    <w:rsid w:val="006F4A0E"/>
    <w:rsid w:val="006F58D4"/>
    <w:rsid w:val="006F6582"/>
    <w:rsid w:val="00700B96"/>
    <w:rsid w:val="0070191F"/>
    <w:rsid w:val="00701EBE"/>
    <w:rsid w:val="0070346E"/>
    <w:rsid w:val="00704EDB"/>
    <w:rsid w:val="00706101"/>
    <w:rsid w:val="00707072"/>
    <w:rsid w:val="00707D61"/>
    <w:rsid w:val="00712287"/>
    <w:rsid w:val="00712772"/>
    <w:rsid w:val="00712E34"/>
    <w:rsid w:val="007148D3"/>
    <w:rsid w:val="007155AA"/>
    <w:rsid w:val="00715B9A"/>
    <w:rsid w:val="00715D8D"/>
    <w:rsid w:val="00716176"/>
    <w:rsid w:val="0071771A"/>
    <w:rsid w:val="0071790E"/>
    <w:rsid w:val="007202A5"/>
    <w:rsid w:val="00721963"/>
    <w:rsid w:val="00721B32"/>
    <w:rsid w:val="00724E37"/>
    <w:rsid w:val="007257D0"/>
    <w:rsid w:val="00725BB7"/>
    <w:rsid w:val="00726EA6"/>
    <w:rsid w:val="00727208"/>
    <w:rsid w:val="00727680"/>
    <w:rsid w:val="00731306"/>
    <w:rsid w:val="007348B1"/>
    <w:rsid w:val="007362A6"/>
    <w:rsid w:val="00736D7D"/>
    <w:rsid w:val="00740E58"/>
    <w:rsid w:val="007445A0"/>
    <w:rsid w:val="00744903"/>
    <w:rsid w:val="00744A7D"/>
    <w:rsid w:val="0074524B"/>
    <w:rsid w:val="00746285"/>
    <w:rsid w:val="00747D8B"/>
    <w:rsid w:val="00751228"/>
    <w:rsid w:val="00751A72"/>
    <w:rsid w:val="0075565D"/>
    <w:rsid w:val="0075641D"/>
    <w:rsid w:val="007571E1"/>
    <w:rsid w:val="007604B2"/>
    <w:rsid w:val="0076064B"/>
    <w:rsid w:val="007618FE"/>
    <w:rsid w:val="00761DAE"/>
    <w:rsid w:val="00762CAF"/>
    <w:rsid w:val="0076423F"/>
    <w:rsid w:val="007649F4"/>
    <w:rsid w:val="00765281"/>
    <w:rsid w:val="00766BAD"/>
    <w:rsid w:val="007729A2"/>
    <w:rsid w:val="007739A6"/>
    <w:rsid w:val="007755F2"/>
    <w:rsid w:val="00776971"/>
    <w:rsid w:val="00777D7B"/>
    <w:rsid w:val="00780A80"/>
    <w:rsid w:val="0078177E"/>
    <w:rsid w:val="0078304C"/>
    <w:rsid w:val="00783673"/>
    <w:rsid w:val="00784ADF"/>
    <w:rsid w:val="0078511E"/>
    <w:rsid w:val="00785490"/>
    <w:rsid w:val="00786D65"/>
    <w:rsid w:val="0079197E"/>
    <w:rsid w:val="007925EA"/>
    <w:rsid w:val="00793CD8"/>
    <w:rsid w:val="00795909"/>
    <w:rsid w:val="00795AF7"/>
    <w:rsid w:val="00795C92"/>
    <w:rsid w:val="00796231"/>
    <w:rsid w:val="007A11AF"/>
    <w:rsid w:val="007A1CB3"/>
    <w:rsid w:val="007A306F"/>
    <w:rsid w:val="007A43A6"/>
    <w:rsid w:val="007A44B6"/>
    <w:rsid w:val="007A58A6"/>
    <w:rsid w:val="007B18B7"/>
    <w:rsid w:val="007B3D2D"/>
    <w:rsid w:val="007B50AE"/>
    <w:rsid w:val="007B51DF"/>
    <w:rsid w:val="007B7E4C"/>
    <w:rsid w:val="007C00B0"/>
    <w:rsid w:val="007C05DD"/>
    <w:rsid w:val="007C1075"/>
    <w:rsid w:val="007C371E"/>
    <w:rsid w:val="007C3D18"/>
    <w:rsid w:val="007C4864"/>
    <w:rsid w:val="007C5A2A"/>
    <w:rsid w:val="007C5F4C"/>
    <w:rsid w:val="007C60BF"/>
    <w:rsid w:val="007C6A07"/>
    <w:rsid w:val="007C75A1"/>
    <w:rsid w:val="007C77A5"/>
    <w:rsid w:val="007D0271"/>
    <w:rsid w:val="007D04E5"/>
    <w:rsid w:val="007D3C6C"/>
    <w:rsid w:val="007D5353"/>
    <w:rsid w:val="007D5901"/>
    <w:rsid w:val="007D7526"/>
    <w:rsid w:val="007E40D4"/>
    <w:rsid w:val="007E4140"/>
    <w:rsid w:val="007E4610"/>
    <w:rsid w:val="007E4715"/>
    <w:rsid w:val="007E505B"/>
    <w:rsid w:val="007E58E7"/>
    <w:rsid w:val="007E7091"/>
    <w:rsid w:val="007E7FB4"/>
    <w:rsid w:val="007F304A"/>
    <w:rsid w:val="007F4876"/>
    <w:rsid w:val="007F5A75"/>
    <w:rsid w:val="007F7E01"/>
    <w:rsid w:val="008020E2"/>
    <w:rsid w:val="00803028"/>
    <w:rsid w:val="00803FAE"/>
    <w:rsid w:val="008047F8"/>
    <w:rsid w:val="00804D93"/>
    <w:rsid w:val="00804F0D"/>
    <w:rsid w:val="0080605F"/>
    <w:rsid w:val="00807786"/>
    <w:rsid w:val="00811FCB"/>
    <w:rsid w:val="00812DE5"/>
    <w:rsid w:val="00814207"/>
    <w:rsid w:val="008158D6"/>
    <w:rsid w:val="00817196"/>
    <w:rsid w:val="00817300"/>
    <w:rsid w:val="008177E8"/>
    <w:rsid w:val="008235DB"/>
    <w:rsid w:val="00824AB4"/>
    <w:rsid w:val="00825C42"/>
    <w:rsid w:val="00825D25"/>
    <w:rsid w:val="00827556"/>
    <w:rsid w:val="00827D6F"/>
    <w:rsid w:val="00830242"/>
    <w:rsid w:val="00830310"/>
    <w:rsid w:val="0083076E"/>
    <w:rsid w:val="00831590"/>
    <w:rsid w:val="0083546B"/>
    <w:rsid w:val="008376AC"/>
    <w:rsid w:val="00843912"/>
    <w:rsid w:val="008444E8"/>
    <w:rsid w:val="00844E80"/>
    <w:rsid w:val="00846FE7"/>
    <w:rsid w:val="008536DF"/>
    <w:rsid w:val="0085509A"/>
    <w:rsid w:val="00856911"/>
    <w:rsid w:val="00856F75"/>
    <w:rsid w:val="00857CD2"/>
    <w:rsid w:val="0086351C"/>
    <w:rsid w:val="00864BA8"/>
    <w:rsid w:val="008677FD"/>
    <w:rsid w:val="00867E03"/>
    <w:rsid w:val="008706D4"/>
    <w:rsid w:val="00870F8A"/>
    <w:rsid w:val="0087155E"/>
    <w:rsid w:val="008719A4"/>
    <w:rsid w:val="00871D23"/>
    <w:rsid w:val="00874312"/>
    <w:rsid w:val="0087437C"/>
    <w:rsid w:val="00875CD7"/>
    <w:rsid w:val="00876B4D"/>
    <w:rsid w:val="00877750"/>
    <w:rsid w:val="00877F18"/>
    <w:rsid w:val="008800D7"/>
    <w:rsid w:val="00882402"/>
    <w:rsid w:val="008906D7"/>
    <w:rsid w:val="00890EF2"/>
    <w:rsid w:val="008941E3"/>
    <w:rsid w:val="00894A1D"/>
    <w:rsid w:val="00894A88"/>
    <w:rsid w:val="0089509F"/>
    <w:rsid w:val="00895386"/>
    <w:rsid w:val="00897016"/>
    <w:rsid w:val="008A0B6C"/>
    <w:rsid w:val="008A21FF"/>
    <w:rsid w:val="008A2CE2"/>
    <w:rsid w:val="008A30AC"/>
    <w:rsid w:val="008A4466"/>
    <w:rsid w:val="008A44B8"/>
    <w:rsid w:val="008A51A8"/>
    <w:rsid w:val="008A54C7"/>
    <w:rsid w:val="008A59EC"/>
    <w:rsid w:val="008A61AC"/>
    <w:rsid w:val="008A6408"/>
    <w:rsid w:val="008A77D8"/>
    <w:rsid w:val="008B0483"/>
    <w:rsid w:val="008B120C"/>
    <w:rsid w:val="008B22A3"/>
    <w:rsid w:val="008B2840"/>
    <w:rsid w:val="008B3E61"/>
    <w:rsid w:val="008B518C"/>
    <w:rsid w:val="008B51A0"/>
    <w:rsid w:val="008B592A"/>
    <w:rsid w:val="008B5FB4"/>
    <w:rsid w:val="008B7B5C"/>
    <w:rsid w:val="008C0C99"/>
    <w:rsid w:val="008C2017"/>
    <w:rsid w:val="008C4958"/>
    <w:rsid w:val="008C4BAA"/>
    <w:rsid w:val="008C5C43"/>
    <w:rsid w:val="008C6AE8"/>
    <w:rsid w:val="008C7573"/>
    <w:rsid w:val="008D00A5"/>
    <w:rsid w:val="008D0379"/>
    <w:rsid w:val="008D34F1"/>
    <w:rsid w:val="008D39D8"/>
    <w:rsid w:val="008D4F47"/>
    <w:rsid w:val="008D6D1A"/>
    <w:rsid w:val="008D7D37"/>
    <w:rsid w:val="008E065E"/>
    <w:rsid w:val="008E0927"/>
    <w:rsid w:val="008E0BB4"/>
    <w:rsid w:val="008E10BF"/>
    <w:rsid w:val="008E1909"/>
    <w:rsid w:val="008E3F25"/>
    <w:rsid w:val="008E5FF9"/>
    <w:rsid w:val="008F17BE"/>
    <w:rsid w:val="008F1C4E"/>
    <w:rsid w:val="008F1CB9"/>
    <w:rsid w:val="008F1EAB"/>
    <w:rsid w:val="008F33DC"/>
    <w:rsid w:val="008F366B"/>
    <w:rsid w:val="008F423F"/>
    <w:rsid w:val="008F477F"/>
    <w:rsid w:val="008F50A1"/>
    <w:rsid w:val="008F59B7"/>
    <w:rsid w:val="008F74AC"/>
    <w:rsid w:val="0090024C"/>
    <w:rsid w:val="00901834"/>
    <w:rsid w:val="00902303"/>
    <w:rsid w:val="00902350"/>
    <w:rsid w:val="009031B8"/>
    <w:rsid w:val="0090336B"/>
    <w:rsid w:val="00905037"/>
    <w:rsid w:val="009053AA"/>
    <w:rsid w:val="009055C6"/>
    <w:rsid w:val="00905BCB"/>
    <w:rsid w:val="009064C9"/>
    <w:rsid w:val="00906939"/>
    <w:rsid w:val="00910B7D"/>
    <w:rsid w:val="00911DFB"/>
    <w:rsid w:val="009139D9"/>
    <w:rsid w:val="00914118"/>
    <w:rsid w:val="00914AD8"/>
    <w:rsid w:val="00916079"/>
    <w:rsid w:val="00917CE9"/>
    <w:rsid w:val="0092075B"/>
    <w:rsid w:val="00920BF2"/>
    <w:rsid w:val="00922008"/>
    <w:rsid w:val="00922010"/>
    <w:rsid w:val="00923E4D"/>
    <w:rsid w:val="0092523E"/>
    <w:rsid w:val="00931BD9"/>
    <w:rsid w:val="009335C4"/>
    <w:rsid w:val="00934715"/>
    <w:rsid w:val="009368F3"/>
    <w:rsid w:val="00940321"/>
    <w:rsid w:val="0094121C"/>
    <w:rsid w:val="00941636"/>
    <w:rsid w:val="009434B4"/>
    <w:rsid w:val="00943742"/>
    <w:rsid w:val="00945C05"/>
    <w:rsid w:val="00946174"/>
    <w:rsid w:val="00946945"/>
    <w:rsid w:val="00947713"/>
    <w:rsid w:val="009505EE"/>
    <w:rsid w:val="00950DE7"/>
    <w:rsid w:val="00952983"/>
    <w:rsid w:val="0095385A"/>
    <w:rsid w:val="00953920"/>
    <w:rsid w:val="00953D47"/>
    <w:rsid w:val="0095681E"/>
    <w:rsid w:val="009572D4"/>
    <w:rsid w:val="00961921"/>
    <w:rsid w:val="0096430A"/>
    <w:rsid w:val="00964BB9"/>
    <w:rsid w:val="00965075"/>
    <w:rsid w:val="0096554B"/>
    <w:rsid w:val="0096584A"/>
    <w:rsid w:val="0096790A"/>
    <w:rsid w:val="00971F08"/>
    <w:rsid w:val="00972211"/>
    <w:rsid w:val="009734F6"/>
    <w:rsid w:val="0097484E"/>
    <w:rsid w:val="00975CE3"/>
    <w:rsid w:val="0097603D"/>
    <w:rsid w:val="00976949"/>
    <w:rsid w:val="00977968"/>
    <w:rsid w:val="00980477"/>
    <w:rsid w:val="00981D48"/>
    <w:rsid w:val="00985039"/>
    <w:rsid w:val="00985253"/>
    <w:rsid w:val="009853B3"/>
    <w:rsid w:val="00990630"/>
    <w:rsid w:val="00991761"/>
    <w:rsid w:val="00994DCA"/>
    <w:rsid w:val="009956CC"/>
    <w:rsid w:val="009960EC"/>
    <w:rsid w:val="009970DD"/>
    <w:rsid w:val="009A0FBA"/>
    <w:rsid w:val="009A1601"/>
    <w:rsid w:val="009A1AA7"/>
    <w:rsid w:val="009A3512"/>
    <w:rsid w:val="009A3BB6"/>
    <w:rsid w:val="009A462D"/>
    <w:rsid w:val="009A5CBA"/>
    <w:rsid w:val="009B1F30"/>
    <w:rsid w:val="009B3AC2"/>
    <w:rsid w:val="009B4DF4"/>
    <w:rsid w:val="009B564E"/>
    <w:rsid w:val="009B789F"/>
    <w:rsid w:val="009B7E87"/>
    <w:rsid w:val="009C0169"/>
    <w:rsid w:val="009C0304"/>
    <w:rsid w:val="009C277F"/>
    <w:rsid w:val="009C2F0A"/>
    <w:rsid w:val="009C403E"/>
    <w:rsid w:val="009C6E52"/>
    <w:rsid w:val="009D4790"/>
    <w:rsid w:val="009D4FF0"/>
    <w:rsid w:val="009D53EB"/>
    <w:rsid w:val="009D6DDD"/>
    <w:rsid w:val="009D703C"/>
    <w:rsid w:val="009D718F"/>
    <w:rsid w:val="009E068F"/>
    <w:rsid w:val="009E14E0"/>
    <w:rsid w:val="009E29B6"/>
    <w:rsid w:val="009E320D"/>
    <w:rsid w:val="009E35DB"/>
    <w:rsid w:val="009E45FB"/>
    <w:rsid w:val="009E47A3"/>
    <w:rsid w:val="009E5824"/>
    <w:rsid w:val="009E7184"/>
    <w:rsid w:val="009F08F3"/>
    <w:rsid w:val="009F344F"/>
    <w:rsid w:val="009F7D7C"/>
    <w:rsid w:val="00A02E86"/>
    <w:rsid w:val="00A03116"/>
    <w:rsid w:val="00A031D8"/>
    <w:rsid w:val="00A048A8"/>
    <w:rsid w:val="00A04F49"/>
    <w:rsid w:val="00A12D5A"/>
    <w:rsid w:val="00A13E54"/>
    <w:rsid w:val="00A15F0C"/>
    <w:rsid w:val="00A17C6E"/>
    <w:rsid w:val="00A17F63"/>
    <w:rsid w:val="00A211B1"/>
    <w:rsid w:val="00A2193B"/>
    <w:rsid w:val="00A2351A"/>
    <w:rsid w:val="00A2424F"/>
    <w:rsid w:val="00A264A9"/>
    <w:rsid w:val="00A26DCF"/>
    <w:rsid w:val="00A27785"/>
    <w:rsid w:val="00A30187"/>
    <w:rsid w:val="00A32776"/>
    <w:rsid w:val="00A32D6A"/>
    <w:rsid w:val="00A3448A"/>
    <w:rsid w:val="00A36297"/>
    <w:rsid w:val="00A36BCD"/>
    <w:rsid w:val="00A37AEA"/>
    <w:rsid w:val="00A41E2B"/>
    <w:rsid w:val="00A45B74"/>
    <w:rsid w:val="00A5151C"/>
    <w:rsid w:val="00A520C6"/>
    <w:rsid w:val="00A52E1D"/>
    <w:rsid w:val="00A53656"/>
    <w:rsid w:val="00A54CC2"/>
    <w:rsid w:val="00A5545E"/>
    <w:rsid w:val="00A61499"/>
    <w:rsid w:val="00A62A77"/>
    <w:rsid w:val="00A63307"/>
    <w:rsid w:val="00A63483"/>
    <w:rsid w:val="00A645FD"/>
    <w:rsid w:val="00A64B41"/>
    <w:rsid w:val="00A65704"/>
    <w:rsid w:val="00A657D7"/>
    <w:rsid w:val="00A65CB3"/>
    <w:rsid w:val="00A660AC"/>
    <w:rsid w:val="00A6625B"/>
    <w:rsid w:val="00A67E6C"/>
    <w:rsid w:val="00A708DE"/>
    <w:rsid w:val="00A71B30"/>
    <w:rsid w:val="00A71B99"/>
    <w:rsid w:val="00A71ED4"/>
    <w:rsid w:val="00A739D0"/>
    <w:rsid w:val="00A75B48"/>
    <w:rsid w:val="00A761D4"/>
    <w:rsid w:val="00A77734"/>
    <w:rsid w:val="00A77EC4"/>
    <w:rsid w:val="00A87DB4"/>
    <w:rsid w:val="00A92879"/>
    <w:rsid w:val="00A9442A"/>
    <w:rsid w:val="00AA016F"/>
    <w:rsid w:val="00AA0D91"/>
    <w:rsid w:val="00AA1BEA"/>
    <w:rsid w:val="00AA1ED6"/>
    <w:rsid w:val="00AA274B"/>
    <w:rsid w:val="00AA3A8A"/>
    <w:rsid w:val="00AA51D6"/>
    <w:rsid w:val="00AB0BC8"/>
    <w:rsid w:val="00AB11CA"/>
    <w:rsid w:val="00AB14D9"/>
    <w:rsid w:val="00AB4AB8"/>
    <w:rsid w:val="00AB5947"/>
    <w:rsid w:val="00AB655E"/>
    <w:rsid w:val="00AC007F"/>
    <w:rsid w:val="00AC2ECD"/>
    <w:rsid w:val="00AC3119"/>
    <w:rsid w:val="00AC49FB"/>
    <w:rsid w:val="00AC5A10"/>
    <w:rsid w:val="00AC6C49"/>
    <w:rsid w:val="00AD0072"/>
    <w:rsid w:val="00AD0299"/>
    <w:rsid w:val="00AD0321"/>
    <w:rsid w:val="00AD0AA3"/>
    <w:rsid w:val="00AD2ED0"/>
    <w:rsid w:val="00AD32A2"/>
    <w:rsid w:val="00AD3F94"/>
    <w:rsid w:val="00AD4A5A"/>
    <w:rsid w:val="00AE2091"/>
    <w:rsid w:val="00AE27AC"/>
    <w:rsid w:val="00AE40E0"/>
    <w:rsid w:val="00AE4DBA"/>
    <w:rsid w:val="00AE4F07"/>
    <w:rsid w:val="00AE5153"/>
    <w:rsid w:val="00AF1C5D"/>
    <w:rsid w:val="00AF26FF"/>
    <w:rsid w:val="00AF42D7"/>
    <w:rsid w:val="00AF4A64"/>
    <w:rsid w:val="00B006FE"/>
    <w:rsid w:val="00B007CB"/>
    <w:rsid w:val="00B01337"/>
    <w:rsid w:val="00B014CE"/>
    <w:rsid w:val="00B02AA9"/>
    <w:rsid w:val="00B02FA3"/>
    <w:rsid w:val="00B03F2A"/>
    <w:rsid w:val="00B05084"/>
    <w:rsid w:val="00B157F9"/>
    <w:rsid w:val="00B15836"/>
    <w:rsid w:val="00B20256"/>
    <w:rsid w:val="00B20D09"/>
    <w:rsid w:val="00B2698B"/>
    <w:rsid w:val="00B2763F"/>
    <w:rsid w:val="00B27AAC"/>
    <w:rsid w:val="00B30929"/>
    <w:rsid w:val="00B33CB4"/>
    <w:rsid w:val="00B372AA"/>
    <w:rsid w:val="00B40445"/>
    <w:rsid w:val="00B409E0"/>
    <w:rsid w:val="00B41888"/>
    <w:rsid w:val="00B454E1"/>
    <w:rsid w:val="00B45A52"/>
    <w:rsid w:val="00B46175"/>
    <w:rsid w:val="00B51EDB"/>
    <w:rsid w:val="00B548B7"/>
    <w:rsid w:val="00B549FC"/>
    <w:rsid w:val="00B54DD6"/>
    <w:rsid w:val="00B6161E"/>
    <w:rsid w:val="00B644C4"/>
    <w:rsid w:val="00B65FF5"/>
    <w:rsid w:val="00B664C7"/>
    <w:rsid w:val="00B67497"/>
    <w:rsid w:val="00B713D8"/>
    <w:rsid w:val="00B717E3"/>
    <w:rsid w:val="00B739F6"/>
    <w:rsid w:val="00B755E0"/>
    <w:rsid w:val="00B81A6C"/>
    <w:rsid w:val="00B85DE5"/>
    <w:rsid w:val="00B90F73"/>
    <w:rsid w:val="00B90FF4"/>
    <w:rsid w:val="00B91701"/>
    <w:rsid w:val="00B93B59"/>
    <w:rsid w:val="00B9406A"/>
    <w:rsid w:val="00B953ED"/>
    <w:rsid w:val="00B956AD"/>
    <w:rsid w:val="00B960E8"/>
    <w:rsid w:val="00B965AB"/>
    <w:rsid w:val="00B97D8B"/>
    <w:rsid w:val="00BA09BA"/>
    <w:rsid w:val="00BA2280"/>
    <w:rsid w:val="00BA2A08"/>
    <w:rsid w:val="00BA56D2"/>
    <w:rsid w:val="00BA76E0"/>
    <w:rsid w:val="00BB13BD"/>
    <w:rsid w:val="00BB2A25"/>
    <w:rsid w:val="00BB51E9"/>
    <w:rsid w:val="00BB6692"/>
    <w:rsid w:val="00BB6E10"/>
    <w:rsid w:val="00BC0FDC"/>
    <w:rsid w:val="00BC3053"/>
    <w:rsid w:val="00BC4D2E"/>
    <w:rsid w:val="00BC6E87"/>
    <w:rsid w:val="00BD2170"/>
    <w:rsid w:val="00BD29D1"/>
    <w:rsid w:val="00BD48AC"/>
    <w:rsid w:val="00BD5013"/>
    <w:rsid w:val="00BD5F1A"/>
    <w:rsid w:val="00BD65C1"/>
    <w:rsid w:val="00BD7400"/>
    <w:rsid w:val="00BE0271"/>
    <w:rsid w:val="00BE1234"/>
    <w:rsid w:val="00BE25C4"/>
    <w:rsid w:val="00BE2CB4"/>
    <w:rsid w:val="00BE2FA6"/>
    <w:rsid w:val="00BE333F"/>
    <w:rsid w:val="00BE7406"/>
    <w:rsid w:val="00BE7603"/>
    <w:rsid w:val="00BF16F6"/>
    <w:rsid w:val="00BF1E70"/>
    <w:rsid w:val="00BF3279"/>
    <w:rsid w:val="00BF4B5F"/>
    <w:rsid w:val="00BF74C7"/>
    <w:rsid w:val="00C015F1"/>
    <w:rsid w:val="00C017B5"/>
    <w:rsid w:val="00C01F33"/>
    <w:rsid w:val="00C02CC6"/>
    <w:rsid w:val="00C040F7"/>
    <w:rsid w:val="00C044AB"/>
    <w:rsid w:val="00C05706"/>
    <w:rsid w:val="00C06B65"/>
    <w:rsid w:val="00C07377"/>
    <w:rsid w:val="00C10478"/>
    <w:rsid w:val="00C12107"/>
    <w:rsid w:val="00C14D4B"/>
    <w:rsid w:val="00C154BB"/>
    <w:rsid w:val="00C23BDD"/>
    <w:rsid w:val="00C23CA2"/>
    <w:rsid w:val="00C27818"/>
    <w:rsid w:val="00C279B5"/>
    <w:rsid w:val="00C27C45"/>
    <w:rsid w:val="00C303DE"/>
    <w:rsid w:val="00C3338D"/>
    <w:rsid w:val="00C35DE8"/>
    <w:rsid w:val="00C36A08"/>
    <w:rsid w:val="00C3719D"/>
    <w:rsid w:val="00C37CB2"/>
    <w:rsid w:val="00C42C7C"/>
    <w:rsid w:val="00C433D8"/>
    <w:rsid w:val="00C43FE4"/>
    <w:rsid w:val="00C4448C"/>
    <w:rsid w:val="00C473A5"/>
    <w:rsid w:val="00C51636"/>
    <w:rsid w:val="00C53BB6"/>
    <w:rsid w:val="00C547BB"/>
    <w:rsid w:val="00C54861"/>
    <w:rsid w:val="00C54995"/>
    <w:rsid w:val="00C54D41"/>
    <w:rsid w:val="00C5539E"/>
    <w:rsid w:val="00C60783"/>
    <w:rsid w:val="00C60880"/>
    <w:rsid w:val="00C60EF4"/>
    <w:rsid w:val="00C641D0"/>
    <w:rsid w:val="00C64672"/>
    <w:rsid w:val="00C64D18"/>
    <w:rsid w:val="00C66986"/>
    <w:rsid w:val="00C66BD9"/>
    <w:rsid w:val="00C70697"/>
    <w:rsid w:val="00C72093"/>
    <w:rsid w:val="00C72EF4"/>
    <w:rsid w:val="00C744FE"/>
    <w:rsid w:val="00C75D2F"/>
    <w:rsid w:val="00C767BE"/>
    <w:rsid w:val="00C76E3C"/>
    <w:rsid w:val="00C774EA"/>
    <w:rsid w:val="00C77A38"/>
    <w:rsid w:val="00C81568"/>
    <w:rsid w:val="00C81945"/>
    <w:rsid w:val="00C832F2"/>
    <w:rsid w:val="00C87535"/>
    <w:rsid w:val="00C9027A"/>
    <w:rsid w:val="00C9068E"/>
    <w:rsid w:val="00C93814"/>
    <w:rsid w:val="00C93C4B"/>
    <w:rsid w:val="00C944AB"/>
    <w:rsid w:val="00C95B40"/>
    <w:rsid w:val="00C97CC2"/>
    <w:rsid w:val="00CA1ED8"/>
    <w:rsid w:val="00CA24FC"/>
    <w:rsid w:val="00CA267F"/>
    <w:rsid w:val="00CA3F4F"/>
    <w:rsid w:val="00CA5934"/>
    <w:rsid w:val="00CB1F63"/>
    <w:rsid w:val="00CB2BC5"/>
    <w:rsid w:val="00CB45B7"/>
    <w:rsid w:val="00CB6D5D"/>
    <w:rsid w:val="00CB7170"/>
    <w:rsid w:val="00CC040E"/>
    <w:rsid w:val="00CC111F"/>
    <w:rsid w:val="00CC2011"/>
    <w:rsid w:val="00CC35C8"/>
    <w:rsid w:val="00CC3EA0"/>
    <w:rsid w:val="00CC7B45"/>
    <w:rsid w:val="00CD097D"/>
    <w:rsid w:val="00CD1188"/>
    <w:rsid w:val="00CD2ED1"/>
    <w:rsid w:val="00CD337B"/>
    <w:rsid w:val="00CD4991"/>
    <w:rsid w:val="00CD5434"/>
    <w:rsid w:val="00CD5AAB"/>
    <w:rsid w:val="00CE0424"/>
    <w:rsid w:val="00CE7561"/>
    <w:rsid w:val="00CE7E49"/>
    <w:rsid w:val="00CF1354"/>
    <w:rsid w:val="00CF1D9B"/>
    <w:rsid w:val="00CF308F"/>
    <w:rsid w:val="00CF3B1F"/>
    <w:rsid w:val="00CF3B24"/>
    <w:rsid w:val="00CF3BF6"/>
    <w:rsid w:val="00CF46C8"/>
    <w:rsid w:val="00CF625B"/>
    <w:rsid w:val="00CF687E"/>
    <w:rsid w:val="00CF7205"/>
    <w:rsid w:val="00CF72C8"/>
    <w:rsid w:val="00D0118A"/>
    <w:rsid w:val="00D02F3F"/>
    <w:rsid w:val="00D0349B"/>
    <w:rsid w:val="00D10249"/>
    <w:rsid w:val="00D103CA"/>
    <w:rsid w:val="00D115C3"/>
    <w:rsid w:val="00D11897"/>
    <w:rsid w:val="00D13135"/>
    <w:rsid w:val="00D13E4E"/>
    <w:rsid w:val="00D1784D"/>
    <w:rsid w:val="00D239A7"/>
    <w:rsid w:val="00D23F47"/>
    <w:rsid w:val="00D36E71"/>
    <w:rsid w:val="00D37587"/>
    <w:rsid w:val="00D37D87"/>
    <w:rsid w:val="00D40B33"/>
    <w:rsid w:val="00D42A30"/>
    <w:rsid w:val="00D4318F"/>
    <w:rsid w:val="00D438BF"/>
    <w:rsid w:val="00D44065"/>
    <w:rsid w:val="00D440F8"/>
    <w:rsid w:val="00D4679B"/>
    <w:rsid w:val="00D50720"/>
    <w:rsid w:val="00D50BD2"/>
    <w:rsid w:val="00D52094"/>
    <w:rsid w:val="00D546FF"/>
    <w:rsid w:val="00D55AD5"/>
    <w:rsid w:val="00D576CA"/>
    <w:rsid w:val="00D57880"/>
    <w:rsid w:val="00D606C3"/>
    <w:rsid w:val="00D61AF5"/>
    <w:rsid w:val="00D652B5"/>
    <w:rsid w:val="00D65C97"/>
    <w:rsid w:val="00D66155"/>
    <w:rsid w:val="00D708B0"/>
    <w:rsid w:val="00D74AB8"/>
    <w:rsid w:val="00D77B1D"/>
    <w:rsid w:val="00D8021F"/>
    <w:rsid w:val="00D80383"/>
    <w:rsid w:val="00D823C6"/>
    <w:rsid w:val="00D82A66"/>
    <w:rsid w:val="00D8327F"/>
    <w:rsid w:val="00D85409"/>
    <w:rsid w:val="00D86CA3"/>
    <w:rsid w:val="00D871CE"/>
    <w:rsid w:val="00D87A43"/>
    <w:rsid w:val="00D9062D"/>
    <w:rsid w:val="00D9196D"/>
    <w:rsid w:val="00D92982"/>
    <w:rsid w:val="00D949E0"/>
    <w:rsid w:val="00D9521F"/>
    <w:rsid w:val="00DA0B47"/>
    <w:rsid w:val="00DA305E"/>
    <w:rsid w:val="00DA504A"/>
    <w:rsid w:val="00DA5417"/>
    <w:rsid w:val="00DA56E8"/>
    <w:rsid w:val="00DB0A9F"/>
    <w:rsid w:val="00DB35AA"/>
    <w:rsid w:val="00DB377D"/>
    <w:rsid w:val="00DC1A1E"/>
    <w:rsid w:val="00DC2D36"/>
    <w:rsid w:val="00DC53EF"/>
    <w:rsid w:val="00DD488A"/>
    <w:rsid w:val="00DE03D0"/>
    <w:rsid w:val="00DE338E"/>
    <w:rsid w:val="00DE45DA"/>
    <w:rsid w:val="00DE4ADF"/>
    <w:rsid w:val="00DE5608"/>
    <w:rsid w:val="00DE58D0"/>
    <w:rsid w:val="00DE654F"/>
    <w:rsid w:val="00DE6DB2"/>
    <w:rsid w:val="00DF0B6E"/>
    <w:rsid w:val="00DF15E0"/>
    <w:rsid w:val="00DF1968"/>
    <w:rsid w:val="00DF37A0"/>
    <w:rsid w:val="00DF730D"/>
    <w:rsid w:val="00E00D18"/>
    <w:rsid w:val="00E05D7B"/>
    <w:rsid w:val="00E0669C"/>
    <w:rsid w:val="00E078C8"/>
    <w:rsid w:val="00E110E7"/>
    <w:rsid w:val="00E11B20"/>
    <w:rsid w:val="00E14966"/>
    <w:rsid w:val="00E1539D"/>
    <w:rsid w:val="00E15689"/>
    <w:rsid w:val="00E17FA2"/>
    <w:rsid w:val="00E22330"/>
    <w:rsid w:val="00E25FAC"/>
    <w:rsid w:val="00E27A4C"/>
    <w:rsid w:val="00E30B5A"/>
    <w:rsid w:val="00E3123D"/>
    <w:rsid w:val="00E31461"/>
    <w:rsid w:val="00E31D43"/>
    <w:rsid w:val="00E32608"/>
    <w:rsid w:val="00E32636"/>
    <w:rsid w:val="00E34188"/>
    <w:rsid w:val="00E34B6E"/>
    <w:rsid w:val="00E35559"/>
    <w:rsid w:val="00E3655B"/>
    <w:rsid w:val="00E3723A"/>
    <w:rsid w:val="00E3733F"/>
    <w:rsid w:val="00E37860"/>
    <w:rsid w:val="00E42432"/>
    <w:rsid w:val="00E446F1"/>
    <w:rsid w:val="00E45448"/>
    <w:rsid w:val="00E45ADA"/>
    <w:rsid w:val="00E467B8"/>
    <w:rsid w:val="00E46886"/>
    <w:rsid w:val="00E47AEF"/>
    <w:rsid w:val="00E53473"/>
    <w:rsid w:val="00E5375E"/>
    <w:rsid w:val="00E53B75"/>
    <w:rsid w:val="00E54E3B"/>
    <w:rsid w:val="00E57565"/>
    <w:rsid w:val="00E63838"/>
    <w:rsid w:val="00E63BF7"/>
    <w:rsid w:val="00E64434"/>
    <w:rsid w:val="00E651BF"/>
    <w:rsid w:val="00E67C51"/>
    <w:rsid w:val="00E70BDB"/>
    <w:rsid w:val="00E72EFC"/>
    <w:rsid w:val="00E7310B"/>
    <w:rsid w:val="00E73A85"/>
    <w:rsid w:val="00E758EC"/>
    <w:rsid w:val="00E76CB6"/>
    <w:rsid w:val="00E8234C"/>
    <w:rsid w:val="00E839D5"/>
    <w:rsid w:val="00E83AA9"/>
    <w:rsid w:val="00E843B1"/>
    <w:rsid w:val="00E85928"/>
    <w:rsid w:val="00E87588"/>
    <w:rsid w:val="00E87822"/>
    <w:rsid w:val="00E90395"/>
    <w:rsid w:val="00E90E49"/>
    <w:rsid w:val="00E917F9"/>
    <w:rsid w:val="00E9291C"/>
    <w:rsid w:val="00E93FFE"/>
    <w:rsid w:val="00E94F8A"/>
    <w:rsid w:val="00EA492C"/>
    <w:rsid w:val="00EA7A41"/>
    <w:rsid w:val="00EB077B"/>
    <w:rsid w:val="00EB41D5"/>
    <w:rsid w:val="00EB47F1"/>
    <w:rsid w:val="00EB4EA2"/>
    <w:rsid w:val="00EB7524"/>
    <w:rsid w:val="00EC24C6"/>
    <w:rsid w:val="00EC24D5"/>
    <w:rsid w:val="00EC27C6"/>
    <w:rsid w:val="00EC4207"/>
    <w:rsid w:val="00EC46BE"/>
    <w:rsid w:val="00EC5653"/>
    <w:rsid w:val="00EC71CE"/>
    <w:rsid w:val="00EC7834"/>
    <w:rsid w:val="00ED1006"/>
    <w:rsid w:val="00ED2E19"/>
    <w:rsid w:val="00ED3598"/>
    <w:rsid w:val="00EE21EF"/>
    <w:rsid w:val="00EE6E3B"/>
    <w:rsid w:val="00EE7D0B"/>
    <w:rsid w:val="00EF18FE"/>
    <w:rsid w:val="00EF5787"/>
    <w:rsid w:val="00EF60D0"/>
    <w:rsid w:val="00EF6123"/>
    <w:rsid w:val="00EF65E3"/>
    <w:rsid w:val="00EF6644"/>
    <w:rsid w:val="00F02983"/>
    <w:rsid w:val="00F0438A"/>
    <w:rsid w:val="00F0528D"/>
    <w:rsid w:val="00F06C67"/>
    <w:rsid w:val="00F06DFD"/>
    <w:rsid w:val="00F071D1"/>
    <w:rsid w:val="00F07533"/>
    <w:rsid w:val="00F10629"/>
    <w:rsid w:val="00F13D3E"/>
    <w:rsid w:val="00F15FA5"/>
    <w:rsid w:val="00F175A1"/>
    <w:rsid w:val="00F1784B"/>
    <w:rsid w:val="00F209B7"/>
    <w:rsid w:val="00F2376F"/>
    <w:rsid w:val="00F243D8"/>
    <w:rsid w:val="00F27864"/>
    <w:rsid w:val="00F30828"/>
    <w:rsid w:val="00F313D6"/>
    <w:rsid w:val="00F338D9"/>
    <w:rsid w:val="00F35E2D"/>
    <w:rsid w:val="00F36A05"/>
    <w:rsid w:val="00F3783B"/>
    <w:rsid w:val="00F4054E"/>
    <w:rsid w:val="00F40F0C"/>
    <w:rsid w:val="00F41868"/>
    <w:rsid w:val="00F42939"/>
    <w:rsid w:val="00F45A9C"/>
    <w:rsid w:val="00F46AD5"/>
    <w:rsid w:val="00F4766C"/>
    <w:rsid w:val="00F5060E"/>
    <w:rsid w:val="00F507D1"/>
    <w:rsid w:val="00F519CE"/>
    <w:rsid w:val="00F51ADA"/>
    <w:rsid w:val="00F56FC1"/>
    <w:rsid w:val="00F60203"/>
    <w:rsid w:val="00F607C5"/>
    <w:rsid w:val="00F60DEA"/>
    <w:rsid w:val="00F62301"/>
    <w:rsid w:val="00F6302A"/>
    <w:rsid w:val="00F63950"/>
    <w:rsid w:val="00F64C2B"/>
    <w:rsid w:val="00F651BE"/>
    <w:rsid w:val="00F654EF"/>
    <w:rsid w:val="00F65536"/>
    <w:rsid w:val="00F65AFA"/>
    <w:rsid w:val="00F67F53"/>
    <w:rsid w:val="00F703BE"/>
    <w:rsid w:val="00F71C81"/>
    <w:rsid w:val="00F71F69"/>
    <w:rsid w:val="00F72B72"/>
    <w:rsid w:val="00F74BB9"/>
    <w:rsid w:val="00F75582"/>
    <w:rsid w:val="00F76EFA"/>
    <w:rsid w:val="00F804BE"/>
    <w:rsid w:val="00F808D5"/>
    <w:rsid w:val="00F8104E"/>
    <w:rsid w:val="00F817CE"/>
    <w:rsid w:val="00F818B7"/>
    <w:rsid w:val="00F82877"/>
    <w:rsid w:val="00F8456C"/>
    <w:rsid w:val="00F859D8"/>
    <w:rsid w:val="00F868F5"/>
    <w:rsid w:val="00F86AE2"/>
    <w:rsid w:val="00F86FCC"/>
    <w:rsid w:val="00F9056A"/>
    <w:rsid w:val="00F90F8D"/>
    <w:rsid w:val="00F92782"/>
    <w:rsid w:val="00F93AA9"/>
    <w:rsid w:val="00F96985"/>
    <w:rsid w:val="00F96A3F"/>
    <w:rsid w:val="00F96D5F"/>
    <w:rsid w:val="00F97838"/>
    <w:rsid w:val="00FA26C5"/>
    <w:rsid w:val="00FA2BB3"/>
    <w:rsid w:val="00FA57C1"/>
    <w:rsid w:val="00FB1162"/>
    <w:rsid w:val="00FB3FF0"/>
    <w:rsid w:val="00FB4C80"/>
    <w:rsid w:val="00FB585C"/>
    <w:rsid w:val="00FB6A6A"/>
    <w:rsid w:val="00FC7429"/>
    <w:rsid w:val="00FC7CE9"/>
    <w:rsid w:val="00FD07F6"/>
    <w:rsid w:val="00FD1EC8"/>
    <w:rsid w:val="00FD47ED"/>
    <w:rsid w:val="00FD73CA"/>
    <w:rsid w:val="00FD74DB"/>
    <w:rsid w:val="00FD7660"/>
    <w:rsid w:val="00FE0655"/>
    <w:rsid w:val="00FE2365"/>
    <w:rsid w:val="00FE2A7A"/>
    <w:rsid w:val="00FE37D7"/>
    <w:rsid w:val="00FE4C7B"/>
    <w:rsid w:val="00FE7336"/>
    <w:rsid w:val="00FE787C"/>
    <w:rsid w:val="00FF04D5"/>
    <w:rsid w:val="00FF435C"/>
    <w:rsid w:val="00FF45A5"/>
    <w:rsid w:val="00FF5C91"/>
    <w:rsid w:val="00FF6661"/>
    <w:rsid w:val="2EF711A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E6A1EA50-2DBB-4CA7-B66E-1AC70E5B7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3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Theme="minorHAnsi" w:hAnsi="Arial" w:cstheme="minorBidi"/>
      <w:b/>
      <w:bCs/>
      <w:szCs w:val="22"/>
      <w:lang w:val="en-US" w:eastAsia="zh-CN"/>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61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298DD711-D675-4D6F-8370-21D8CA72E14E}">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7EC502F9-DE98-48F6-B928-78A53F9DA4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Pages>
  <Words>7770</Words>
  <Characters>44294</Characters>
  <Application>Microsoft Office Word</Application>
  <DocSecurity>4</DocSecurity>
  <Lines>369</Lines>
  <Paragraphs>103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51961</CharactersWithSpaces>
  <SharedDoc>false</SharedDoc>
  <HLinks>
    <vt:vector size="294" baseType="variant">
      <vt:variant>
        <vt:i4>1769535</vt:i4>
      </vt:variant>
      <vt:variant>
        <vt:i4>266</vt:i4>
      </vt:variant>
      <vt:variant>
        <vt:i4>0</vt:i4>
      </vt:variant>
      <vt:variant>
        <vt:i4>5</vt:i4>
      </vt:variant>
      <vt:variant>
        <vt:lpwstr/>
      </vt:variant>
      <vt:variant>
        <vt:lpwstr>_Toc61889386</vt:lpwstr>
      </vt:variant>
      <vt:variant>
        <vt:i4>1572927</vt:i4>
      </vt:variant>
      <vt:variant>
        <vt:i4>263</vt:i4>
      </vt:variant>
      <vt:variant>
        <vt:i4>0</vt:i4>
      </vt:variant>
      <vt:variant>
        <vt:i4>5</vt:i4>
      </vt:variant>
      <vt:variant>
        <vt:lpwstr/>
      </vt:variant>
      <vt:variant>
        <vt:lpwstr>_Toc61889385</vt:lpwstr>
      </vt:variant>
      <vt:variant>
        <vt:i4>1638463</vt:i4>
      </vt:variant>
      <vt:variant>
        <vt:i4>260</vt:i4>
      </vt:variant>
      <vt:variant>
        <vt:i4>0</vt:i4>
      </vt:variant>
      <vt:variant>
        <vt:i4>5</vt:i4>
      </vt:variant>
      <vt:variant>
        <vt:lpwstr/>
      </vt:variant>
      <vt:variant>
        <vt:lpwstr>_Toc61889384</vt:lpwstr>
      </vt:variant>
      <vt:variant>
        <vt:i4>1966143</vt:i4>
      </vt:variant>
      <vt:variant>
        <vt:i4>257</vt:i4>
      </vt:variant>
      <vt:variant>
        <vt:i4>0</vt:i4>
      </vt:variant>
      <vt:variant>
        <vt:i4>5</vt:i4>
      </vt:variant>
      <vt:variant>
        <vt:lpwstr/>
      </vt:variant>
      <vt:variant>
        <vt:lpwstr>_Toc61889383</vt:lpwstr>
      </vt:variant>
      <vt:variant>
        <vt:i4>2031679</vt:i4>
      </vt:variant>
      <vt:variant>
        <vt:i4>254</vt:i4>
      </vt:variant>
      <vt:variant>
        <vt:i4>0</vt:i4>
      </vt:variant>
      <vt:variant>
        <vt:i4>5</vt:i4>
      </vt:variant>
      <vt:variant>
        <vt:lpwstr/>
      </vt:variant>
      <vt:variant>
        <vt:lpwstr>_Toc61889382</vt:lpwstr>
      </vt:variant>
      <vt:variant>
        <vt:i4>1835071</vt:i4>
      </vt:variant>
      <vt:variant>
        <vt:i4>251</vt:i4>
      </vt:variant>
      <vt:variant>
        <vt:i4>0</vt:i4>
      </vt:variant>
      <vt:variant>
        <vt:i4>5</vt:i4>
      </vt:variant>
      <vt:variant>
        <vt:lpwstr/>
      </vt:variant>
      <vt:variant>
        <vt:lpwstr>_Toc61889381</vt:lpwstr>
      </vt:variant>
      <vt:variant>
        <vt:i4>1900607</vt:i4>
      </vt:variant>
      <vt:variant>
        <vt:i4>248</vt:i4>
      </vt:variant>
      <vt:variant>
        <vt:i4>0</vt:i4>
      </vt:variant>
      <vt:variant>
        <vt:i4>5</vt:i4>
      </vt:variant>
      <vt:variant>
        <vt:lpwstr/>
      </vt:variant>
      <vt:variant>
        <vt:lpwstr>_Toc61889380</vt:lpwstr>
      </vt:variant>
      <vt:variant>
        <vt:i4>1310768</vt:i4>
      </vt:variant>
      <vt:variant>
        <vt:i4>245</vt:i4>
      </vt:variant>
      <vt:variant>
        <vt:i4>0</vt:i4>
      </vt:variant>
      <vt:variant>
        <vt:i4>5</vt:i4>
      </vt:variant>
      <vt:variant>
        <vt:lpwstr/>
      </vt:variant>
      <vt:variant>
        <vt:lpwstr>_Toc61889379</vt:lpwstr>
      </vt:variant>
      <vt:variant>
        <vt:i4>1376304</vt:i4>
      </vt:variant>
      <vt:variant>
        <vt:i4>242</vt:i4>
      </vt:variant>
      <vt:variant>
        <vt:i4>0</vt:i4>
      </vt:variant>
      <vt:variant>
        <vt:i4>5</vt:i4>
      </vt:variant>
      <vt:variant>
        <vt:lpwstr/>
      </vt:variant>
      <vt:variant>
        <vt:lpwstr>_Toc61889378</vt:lpwstr>
      </vt:variant>
      <vt:variant>
        <vt:i4>1703984</vt:i4>
      </vt:variant>
      <vt:variant>
        <vt:i4>239</vt:i4>
      </vt:variant>
      <vt:variant>
        <vt:i4>0</vt:i4>
      </vt:variant>
      <vt:variant>
        <vt:i4>5</vt:i4>
      </vt:variant>
      <vt:variant>
        <vt:lpwstr/>
      </vt:variant>
      <vt:variant>
        <vt:lpwstr>_Toc61889377</vt:lpwstr>
      </vt:variant>
      <vt:variant>
        <vt:i4>1769520</vt:i4>
      </vt:variant>
      <vt:variant>
        <vt:i4>236</vt:i4>
      </vt:variant>
      <vt:variant>
        <vt:i4>0</vt:i4>
      </vt:variant>
      <vt:variant>
        <vt:i4>5</vt:i4>
      </vt:variant>
      <vt:variant>
        <vt:lpwstr/>
      </vt:variant>
      <vt:variant>
        <vt:lpwstr>_Toc61889376</vt:lpwstr>
      </vt:variant>
      <vt:variant>
        <vt:i4>1572912</vt:i4>
      </vt:variant>
      <vt:variant>
        <vt:i4>233</vt:i4>
      </vt:variant>
      <vt:variant>
        <vt:i4>0</vt:i4>
      </vt:variant>
      <vt:variant>
        <vt:i4>5</vt:i4>
      </vt:variant>
      <vt:variant>
        <vt:lpwstr/>
      </vt:variant>
      <vt:variant>
        <vt:lpwstr>_Toc61889375</vt:lpwstr>
      </vt:variant>
      <vt:variant>
        <vt:i4>1638448</vt:i4>
      </vt:variant>
      <vt:variant>
        <vt:i4>230</vt:i4>
      </vt:variant>
      <vt:variant>
        <vt:i4>0</vt:i4>
      </vt:variant>
      <vt:variant>
        <vt:i4>5</vt:i4>
      </vt:variant>
      <vt:variant>
        <vt:lpwstr/>
      </vt:variant>
      <vt:variant>
        <vt:lpwstr>_Toc61889374</vt:lpwstr>
      </vt:variant>
      <vt:variant>
        <vt:i4>1966128</vt:i4>
      </vt:variant>
      <vt:variant>
        <vt:i4>227</vt:i4>
      </vt:variant>
      <vt:variant>
        <vt:i4>0</vt:i4>
      </vt:variant>
      <vt:variant>
        <vt:i4>5</vt:i4>
      </vt:variant>
      <vt:variant>
        <vt:lpwstr/>
      </vt:variant>
      <vt:variant>
        <vt:lpwstr>_Toc61889373</vt:lpwstr>
      </vt:variant>
      <vt:variant>
        <vt:i4>2031664</vt:i4>
      </vt:variant>
      <vt:variant>
        <vt:i4>224</vt:i4>
      </vt:variant>
      <vt:variant>
        <vt:i4>0</vt:i4>
      </vt:variant>
      <vt:variant>
        <vt:i4>5</vt:i4>
      </vt:variant>
      <vt:variant>
        <vt:lpwstr/>
      </vt:variant>
      <vt:variant>
        <vt:lpwstr>_Toc61889372</vt:lpwstr>
      </vt:variant>
      <vt:variant>
        <vt:i4>1835056</vt:i4>
      </vt:variant>
      <vt:variant>
        <vt:i4>221</vt:i4>
      </vt:variant>
      <vt:variant>
        <vt:i4>0</vt:i4>
      </vt:variant>
      <vt:variant>
        <vt:i4>5</vt:i4>
      </vt:variant>
      <vt:variant>
        <vt:lpwstr/>
      </vt:variant>
      <vt:variant>
        <vt:lpwstr>_Toc61889371</vt:lpwstr>
      </vt:variant>
      <vt:variant>
        <vt:i4>1900592</vt:i4>
      </vt:variant>
      <vt:variant>
        <vt:i4>218</vt:i4>
      </vt:variant>
      <vt:variant>
        <vt:i4>0</vt:i4>
      </vt:variant>
      <vt:variant>
        <vt:i4>5</vt:i4>
      </vt:variant>
      <vt:variant>
        <vt:lpwstr/>
      </vt:variant>
      <vt:variant>
        <vt:lpwstr>_Toc61889370</vt:lpwstr>
      </vt:variant>
      <vt:variant>
        <vt:i4>1310769</vt:i4>
      </vt:variant>
      <vt:variant>
        <vt:i4>215</vt:i4>
      </vt:variant>
      <vt:variant>
        <vt:i4>0</vt:i4>
      </vt:variant>
      <vt:variant>
        <vt:i4>5</vt:i4>
      </vt:variant>
      <vt:variant>
        <vt:lpwstr/>
      </vt:variant>
      <vt:variant>
        <vt:lpwstr>_Toc61889369</vt:lpwstr>
      </vt:variant>
      <vt:variant>
        <vt:i4>1376305</vt:i4>
      </vt:variant>
      <vt:variant>
        <vt:i4>212</vt:i4>
      </vt:variant>
      <vt:variant>
        <vt:i4>0</vt:i4>
      </vt:variant>
      <vt:variant>
        <vt:i4>5</vt:i4>
      </vt:variant>
      <vt:variant>
        <vt:lpwstr/>
      </vt:variant>
      <vt:variant>
        <vt:lpwstr>_Toc61889368</vt:lpwstr>
      </vt:variant>
      <vt:variant>
        <vt:i4>1703985</vt:i4>
      </vt:variant>
      <vt:variant>
        <vt:i4>209</vt:i4>
      </vt:variant>
      <vt:variant>
        <vt:i4>0</vt:i4>
      </vt:variant>
      <vt:variant>
        <vt:i4>5</vt:i4>
      </vt:variant>
      <vt:variant>
        <vt:lpwstr/>
      </vt:variant>
      <vt:variant>
        <vt:lpwstr>_Toc61889367</vt:lpwstr>
      </vt:variant>
      <vt:variant>
        <vt:i4>1769521</vt:i4>
      </vt:variant>
      <vt:variant>
        <vt:i4>206</vt:i4>
      </vt:variant>
      <vt:variant>
        <vt:i4>0</vt:i4>
      </vt:variant>
      <vt:variant>
        <vt:i4>5</vt:i4>
      </vt:variant>
      <vt:variant>
        <vt:lpwstr/>
      </vt:variant>
      <vt:variant>
        <vt:lpwstr>_Toc61889366</vt:lpwstr>
      </vt:variant>
      <vt:variant>
        <vt:i4>1572913</vt:i4>
      </vt:variant>
      <vt:variant>
        <vt:i4>203</vt:i4>
      </vt:variant>
      <vt:variant>
        <vt:i4>0</vt:i4>
      </vt:variant>
      <vt:variant>
        <vt:i4>5</vt:i4>
      </vt:variant>
      <vt:variant>
        <vt:lpwstr/>
      </vt:variant>
      <vt:variant>
        <vt:lpwstr>_Toc61889365</vt:lpwstr>
      </vt:variant>
      <vt:variant>
        <vt:i4>1638449</vt:i4>
      </vt:variant>
      <vt:variant>
        <vt:i4>200</vt:i4>
      </vt:variant>
      <vt:variant>
        <vt:i4>0</vt:i4>
      </vt:variant>
      <vt:variant>
        <vt:i4>5</vt:i4>
      </vt:variant>
      <vt:variant>
        <vt:lpwstr/>
      </vt:variant>
      <vt:variant>
        <vt:lpwstr>_Toc61889364</vt:lpwstr>
      </vt:variant>
      <vt:variant>
        <vt:i4>1966129</vt:i4>
      </vt:variant>
      <vt:variant>
        <vt:i4>197</vt:i4>
      </vt:variant>
      <vt:variant>
        <vt:i4>0</vt:i4>
      </vt:variant>
      <vt:variant>
        <vt:i4>5</vt:i4>
      </vt:variant>
      <vt:variant>
        <vt:lpwstr/>
      </vt:variant>
      <vt:variant>
        <vt:lpwstr>_Toc61889363</vt:lpwstr>
      </vt:variant>
      <vt:variant>
        <vt:i4>2031665</vt:i4>
      </vt:variant>
      <vt:variant>
        <vt:i4>194</vt:i4>
      </vt:variant>
      <vt:variant>
        <vt:i4>0</vt:i4>
      </vt:variant>
      <vt:variant>
        <vt:i4>5</vt:i4>
      </vt:variant>
      <vt:variant>
        <vt:lpwstr/>
      </vt:variant>
      <vt:variant>
        <vt:lpwstr>_Toc61889362</vt:lpwstr>
      </vt:variant>
      <vt:variant>
        <vt:i4>1835057</vt:i4>
      </vt:variant>
      <vt:variant>
        <vt:i4>191</vt:i4>
      </vt:variant>
      <vt:variant>
        <vt:i4>0</vt:i4>
      </vt:variant>
      <vt:variant>
        <vt:i4>5</vt:i4>
      </vt:variant>
      <vt:variant>
        <vt:lpwstr/>
      </vt:variant>
      <vt:variant>
        <vt:lpwstr>_Toc61889361</vt:lpwstr>
      </vt:variant>
      <vt:variant>
        <vt:i4>1900593</vt:i4>
      </vt:variant>
      <vt:variant>
        <vt:i4>188</vt:i4>
      </vt:variant>
      <vt:variant>
        <vt:i4>0</vt:i4>
      </vt:variant>
      <vt:variant>
        <vt:i4>5</vt:i4>
      </vt:variant>
      <vt:variant>
        <vt:lpwstr/>
      </vt:variant>
      <vt:variant>
        <vt:lpwstr>_Toc61889360</vt:lpwstr>
      </vt:variant>
      <vt:variant>
        <vt:i4>1310770</vt:i4>
      </vt:variant>
      <vt:variant>
        <vt:i4>185</vt:i4>
      </vt:variant>
      <vt:variant>
        <vt:i4>0</vt:i4>
      </vt:variant>
      <vt:variant>
        <vt:i4>5</vt:i4>
      </vt:variant>
      <vt:variant>
        <vt:lpwstr/>
      </vt:variant>
      <vt:variant>
        <vt:lpwstr>_Toc61889359</vt:lpwstr>
      </vt:variant>
      <vt:variant>
        <vt:i4>1376306</vt:i4>
      </vt:variant>
      <vt:variant>
        <vt:i4>182</vt:i4>
      </vt:variant>
      <vt:variant>
        <vt:i4>0</vt:i4>
      </vt:variant>
      <vt:variant>
        <vt:i4>5</vt:i4>
      </vt:variant>
      <vt:variant>
        <vt:lpwstr/>
      </vt:variant>
      <vt:variant>
        <vt:lpwstr>_Toc61889358</vt:lpwstr>
      </vt:variant>
      <vt:variant>
        <vt:i4>1703986</vt:i4>
      </vt:variant>
      <vt:variant>
        <vt:i4>179</vt:i4>
      </vt:variant>
      <vt:variant>
        <vt:i4>0</vt:i4>
      </vt:variant>
      <vt:variant>
        <vt:i4>5</vt:i4>
      </vt:variant>
      <vt:variant>
        <vt:lpwstr/>
      </vt:variant>
      <vt:variant>
        <vt:lpwstr>_Toc61889357</vt:lpwstr>
      </vt:variant>
      <vt:variant>
        <vt:i4>1769522</vt:i4>
      </vt:variant>
      <vt:variant>
        <vt:i4>176</vt:i4>
      </vt:variant>
      <vt:variant>
        <vt:i4>0</vt:i4>
      </vt:variant>
      <vt:variant>
        <vt:i4>5</vt:i4>
      </vt:variant>
      <vt:variant>
        <vt:lpwstr/>
      </vt:variant>
      <vt:variant>
        <vt:lpwstr>_Toc61889356</vt:lpwstr>
      </vt:variant>
      <vt:variant>
        <vt:i4>1572914</vt:i4>
      </vt:variant>
      <vt:variant>
        <vt:i4>173</vt:i4>
      </vt:variant>
      <vt:variant>
        <vt:i4>0</vt:i4>
      </vt:variant>
      <vt:variant>
        <vt:i4>5</vt:i4>
      </vt:variant>
      <vt:variant>
        <vt:lpwstr/>
      </vt:variant>
      <vt:variant>
        <vt:lpwstr>_Toc61889355</vt:lpwstr>
      </vt:variant>
      <vt:variant>
        <vt:i4>1638450</vt:i4>
      </vt:variant>
      <vt:variant>
        <vt:i4>170</vt:i4>
      </vt:variant>
      <vt:variant>
        <vt:i4>0</vt:i4>
      </vt:variant>
      <vt:variant>
        <vt:i4>5</vt:i4>
      </vt:variant>
      <vt:variant>
        <vt:lpwstr/>
      </vt:variant>
      <vt:variant>
        <vt:lpwstr>_Toc61889354</vt:lpwstr>
      </vt:variant>
      <vt:variant>
        <vt:i4>1966130</vt:i4>
      </vt:variant>
      <vt:variant>
        <vt:i4>167</vt:i4>
      </vt:variant>
      <vt:variant>
        <vt:i4>0</vt:i4>
      </vt:variant>
      <vt:variant>
        <vt:i4>5</vt:i4>
      </vt:variant>
      <vt:variant>
        <vt:lpwstr/>
      </vt:variant>
      <vt:variant>
        <vt:lpwstr>_Toc61889353</vt:lpwstr>
      </vt:variant>
      <vt:variant>
        <vt:i4>2031666</vt:i4>
      </vt:variant>
      <vt:variant>
        <vt:i4>164</vt:i4>
      </vt:variant>
      <vt:variant>
        <vt:i4>0</vt:i4>
      </vt:variant>
      <vt:variant>
        <vt:i4>5</vt:i4>
      </vt:variant>
      <vt:variant>
        <vt:lpwstr/>
      </vt:variant>
      <vt:variant>
        <vt:lpwstr>_Toc61889352</vt:lpwstr>
      </vt:variant>
      <vt:variant>
        <vt:i4>1835058</vt:i4>
      </vt:variant>
      <vt:variant>
        <vt:i4>161</vt:i4>
      </vt:variant>
      <vt:variant>
        <vt:i4>0</vt:i4>
      </vt:variant>
      <vt:variant>
        <vt:i4>5</vt:i4>
      </vt:variant>
      <vt:variant>
        <vt:lpwstr/>
      </vt:variant>
      <vt:variant>
        <vt:lpwstr>_Toc61889351</vt:lpwstr>
      </vt:variant>
      <vt:variant>
        <vt:i4>1900594</vt:i4>
      </vt:variant>
      <vt:variant>
        <vt:i4>158</vt:i4>
      </vt:variant>
      <vt:variant>
        <vt:i4>0</vt:i4>
      </vt:variant>
      <vt:variant>
        <vt:i4>5</vt:i4>
      </vt:variant>
      <vt:variant>
        <vt:lpwstr/>
      </vt:variant>
      <vt:variant>
        <vt:lpwstr>_Toc61889350</vt:lpwstr>
      </vt:variant>
      <vt:variant>
        <vt:i4>1310771</vt:i4>
      </vt:variant>
      <vt:variant>
        <vt:i4>152</vt:i4>
      </vt:variant>
      <vt:variant>
        <vt:i4>0</vt:i4>
      </vt:variant>
      <vt:variant>
        <vt:i4>5</vt:i4>
      </vt:variant>
      <vt:variant>
        <vt:lpwstr/>
      </vt:variant>
      <vt:variant>
        <vt:lpwstr>_Toc61889349</vt:lpwstr>
      </vt:variant>
      <vt:variant>
        <vt:i4>1376307</vt:i4>
      </vt:variant>
      <vt:variant>
        <vt:i4>149</vt:i4>
      </vt:variant>
      <vt:variant>
        <vt:i4>0</vt:i4>
      </vt:variant>
      <vt:variant>
        <vt:i4>5</vt:i4>
      </vt:variant>
      <vt:variant>
        <vt:lpwstr/>
      </vt:variant>
      <vt:variant>
        <vt:lpwstr>_Toc61889348</vt:lpwstr>
      </vt:variant>
      <vt:variant>
        <vt:i4>1703987</vt:i4>
      </vt:variant>
      <vt:variant>
        <vt:i4>146</vt:i4>
      </vt:variant>
      <vt:variant>
        <vt:i4>0</vt:i4>
      </vt:variant>
      <vt:variant>
        <vt:i4>5</vt:i4>
      </vt:variant>
      <vt:variant>
        <vt:lpwstr/>
      </vt:variant>
      <vt:variant>
        <vt:lpwstr>_Toc61889347</vt:lpwstr>
      </vt:variant>
      <vt:variant>
        <vt:i4>1769523</vt:i4>
      </vt:variant>
      <vt:variant>
        <vt:i4>143</vt:i4>
      </vt:variant>
      <vt:variant>
        <vt:i4>0</vt:i4>
      </vt:variant>
      <vt:variant>
        <vt:i4>5</vt:i4>
      </vt:variant>
      <vt:variant>
        <vt:lpwstr/>
      </vt:variant>
      <vt:variant>
        <vt:lpwstr>_Toc61889346</vt:lpwstr>
      </vt:variant>
      <vt:variant>
        <vt:i4>1572915</vt:i4>
      </vt:variant>
      <vt:variant>
        <vt:i4>140</vt:i4>
      </vt:variant>
      <vt:variant>
        <vt:i4>0</vt:i4>
      </vt:variant>
      <vt:variant>
        <vt:i4>5</vt:i4>
      </vt:variant>
      <vt:variant>
        <vt:lpwstr/>
      </vt:variant>
      <vt:variant>
        <vt:lpwstr>_Toc61889345</vt:lpwstr>
      </vt:variant>
      <vt:variant>
        <vt:i4>1638451</vt:i4>
      </vt:variant>
      <vt:variant>
        <vt:i4>137</vt:i4>
      </vt:variant>
      <vt:variant>
        <vt:i4>0</vt:i4>
      </vt:variant>
      <vt:variant>
        <vt:i4>5</vt:i4>
      </vt:variant>
      <vt:variant>
        <vt:lpwstr/>
      </vt:variant>
      <vt:variant>
        <vt:lpwstr>_Toc61889344</vt:lpwstr>
      </vt:variant>
      <vt:variant>
        <vt:i4>1966131</vt:i4>
      </vt:variant>
      <vt:variant>
        <vt:i4>134</vt:i4>
      </vt:variant>
      <vt:variant>
        <vt:i4>0</vt:i4>
      </vt:variant>
      <vt:variant>
        <vt:i4>5</vt:i4>
      </vt:variant>
      <vt:variant>
        <vt:lpwstr/>
      </vt:variant>
      <vt:variant>
        <vt:lpwstr>_Toc61889343</vt:lpwstr>
      </vt:variant>
      <vt:variant>
        <vt:i4>2031667</vt:i4>
      </vt:variant>
      <vt:variant>
        <vt:i4>131</vt:i4>
      </vt:variant>
      <vt:variant>
        <vt:i4>0</vt:i4>
      </vt:variant>
      <vt:variant>
        <vt:i4>5</vt:i4>
      </vt:variant>
      <vt:variant>
        <vt:lpwstr/>
      </vt:variant>
      <vt:variant>
        <vt:lpwstr>_Toc61889342</vt:lpwstr>
      </vt:variant>
      <vt:variant>
        <vt:i4>1835059</vt:i4>
      </vt:variant>
      <vt:variant>
        <vt:i4>128</vt:i4>
      </vt:variant>
      <vt:variant>
        <vt:i4>0</vt:i4>
      </vt:variant>
      <vt:variant>
        <vt:i4>5</vt:i4>
      </vt:variant>
      <vt:variant>
        <vt:lpwstr/>
      </vt:variant>
      <vt:variant>
        <vt:lpwstr>_Toc61889341</vt:lpwstr>
      </vt:variant>
      <vt:variant>
        <vt:i4>1900595</vt:i4>
      </vt:variant>
      <vt:variant>
        <vt:i4>125</vt:i4>
      </vt:variant>
      <vt:variant>
        <vt:i4>0</vt:i4>
      </vt:variant>
      <vt:variant>
        <vt:i4>5</vt:i4>
      </vt:variant>
      <vt:variant>
        <vt:lpwstr/>
      </vt:variant>
      <vt:variant>
        <vt:lpwstr>_Toc61889340</vt:lpwstr>
      </vt:variant>
      <vt:variant>
        <vt:i4>1310772</vt:i4>
      </vt:variant>
      <vt:variant>
        <vt:i4>122</vt:i4>
      </vt:variant>
      <vt:variant>
        <vt:i4>0</vt:i4>
      </vt:variant>
      <vt:variant>
        <vt:i4>5</vt:i4>
      </vt:variant>
      <vt:variant>
        <vt:lpwstr/>
      </vt:variant>
      <vt:variant>
        <vt:lpwstr>_Toc61889339</vt:lpwstr>
      </vt:variant>
      <vt:variant>
        <vt:i4>1376308</vt:i4>
      </vt:variant>
      <vt:variant>
        <vt:i4>119</vt:i4>
      </vt:variant>
      <vt:variant>
        <vt:i4>0</vt:i4>
      </vt:variant>
      <vt:variant>
        <vt:i4>5</vt:i4>
      </vt:variant>
      <vt:variant>
        <vt:lpwstr/>
      </vt:variant>
      <vt:variant>
        <vt:lpwstr>_Toc61889338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Eleftherios Karipidis</cp:lastModifiedBy>
  <cp:revision>20</cp:revision>
  <cp:lastPrinted>2021-01-08T23:59:00Z</cp:lastPrinted>
  <dcterms:created xsi:type="dcterms:W3CDTF">2021-01-16T01:00:00Z</dcterms:created>
  <dcterms:modified xsi:type="dcterms:W3CDTF">2021-01-19T03:17:00Z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